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B22DF" w14:textId="705CD452" w:rsidR="001C1DC5" w:rsidRPr="00524272" w:rsidRDefault="001C1DC5" w:rsidP="001C1DC5">
      <w:pPr>
        <w:jc w:val="center"/>
        <w:rPr>
          <w:rFonts w:cs="Arial"/>
          <w:b/>
          <w:bCs/>
          <w:szCs w:val="24"/>
        </w:rPr>
      </w:pPr>
      <w:r w:rsidRPr="00524272">
        <w:rPr>
          <w:rFonts w:cs="Arial"/>
          <w:b/>
          <w:bCs/>
          <w:szCs w:val="24"/>
        </w:rPr>
        <w:t xml:space="preserve">CIRCULAR EXTERNA  </w:t>
      </w:r>
      <w:r w:rsidR="0043270D">
        <w:rPr>
          <w:rFonts w:cs="Arial"/>
          <w:b/>
          <w:bCs/>
          <w:szCs w:val="24"/>
        </w:rPr>
        <w:t>007</w:t>
      </w:r>
      <w:r w:rsidR="00A65541" w:rsidRPr="00524272">
        <w:rPr>
          <w:rFonts w:cs="Arial"/>
          <w:b/>
          <w:bCs/>
          <w:szCs w:val="24"/>
        </w:rPr>
        <w:t xml:space="preserve"> </w:t>
      </w:r>
      <w:r w:rsidRPr="00524272">
        <w:rPr>
          <w:rFonts w:cs="Arial"/>
          <w:b/>
          <w:bCs/>
          <w:szCs w:val="24"/>
        </w:rPr>
        <w:t xml:space="preserve">  DE 20</w:t>
      </w:r>
      <w:r w:rsidR="00A65541" w:rsidRPr="00524272">
        <w:rPr>
          <w:rFonts w:cs="Arial"/>
          <w:b/>
          <w:bCs/>
          <w:szCs w:val="24"/>
        </w:rPr>
        <w:t>20</w:t>
      </w:r>
    </w:p>
    <w:p w14:paraId="4A35C164" w14:textId="77777777" w:rsidR="00A65541" w:rsidRPr="00524272" w:rsidRDefault="00A65541" w:rsidP="00A46025">
      <w:pPr>
        <w:spacing w:before="0" w:after="0"/>
        <w:jc w:val="center"/>
        <w:rPr>
          <w:rFonts w:cs="Arial"/>
          <w:b/>
          <w:bCs/>
          <w:szCs w:val="24"/>
        </w:rPr>
      </w:pPr>
    </w:p>
    <w:p w14:paraId="0B490740" w14:textId="237062CE" w:rsidR="001C1DC5" w:rsidRPr="00524272" w:rsidRDefault="001C1DC5" w:rsidP="00A46025">
      <w:pPr>
        <w:spacing w:before="0" w:after="0"/>
        <w:jc w:val="center"/>
        <w:rPr>
          <w:rFonts w:cs="Arial"/>
          <w:b/>
          <w:bCs/>
          <w:szCs w:val="24"/>
        </w:rPr>
      </w:pPr>
      <w:proofErr w:type="gramStart"/>
      <w:r w:rsidRPr="00524272">
        <w:rPr>
          <w:rFonts w:cs="Arial"/>
          <w:b/>
          <w:bCs/>
          <w:szCs w:val="24"/>
        </w:rPr>
        <w:t xml:space="preserve">( </w:t>
      </w:r>
      <w:r w:rsidR="004B0E4E">
        <w:rPr>
          <w:rFonts w:cs="Arial"/>
          <w:b/>
          <w:bCs/>
          <w:szCs w:val="24"/>
        </w:rPr>
        <w:t>Marzo</w:t>
      </w:r>
      <w:proofErr w:type="gramEnd"/>
      <w:r w:rsidR="004B0E4E">
        <w:rPr>
          <w:rFonts w:cs="Arial"/>
          <w:b/>
          <w:bCs/>
          <w:szCs w:val="24"/>
        </w:rPr>
        <w:t xml:space="preserve"> 17</w:t>
      </w:r>
      <w:r w:rsidRPr="00524272">
        <w:rPr>
          <w:rFonts w:cs="Arial"/>
          <w:b/>
          <w:bCs/>
          <w:szCs w:val="24"/>
        </w:rPr>
        <w:t xml:space="preserve"> )</w:t>
      </w:r>
    </w:p>
    <w:p w14:paraId="0BA7E7A3" w14:textId="77777777" w:rsidR="00A65541" w:rsidRPr="00524272" w:rsidRDefault="00A65541" w:rsidP="00A46025">
      <w:pPr>
        <w:spacing w:before="0" w:after="0"/>
        <w:jc w:val="center"/>
        <w:rPr>
          <w:rFonts w:cs="Arial"/>
          <w:b/>
          <w:bCs/>
          <w:szCs w:val="24"/>
        </w:rPr>
      </w:pPr>
    </w:p>
    <w:p w14:paraId="436E1355" w14:textId="77777777" w:rsidR="00524272" w:rsidRDefault="00524272" w:rsidP="00A46025">
      <w:pPr>
        <w:spacing w:before="0" w:after="0"/>
        <w:jc w:val="both"/>
        <w:rPr>
          <w:rFonts w:cs="Arial"/>
          <w:b/>
          <w:bCs/>
          <w:szCs w:val="24"/>
        </w:rPr>
      </w:pPr>
      <w:bookmarkStart w:id="0" w:name="_GoBack"/>
      <w:bookmarkEnd w:id="0"/>
    </w:p>
    <w:p w14:paraId="70E889C7" w14:textId="77777777" w:rsidR="00A46025" w:rsidRPr="00524272" w:rsidRDefault="00A46025" w:rsidP="00A46025">
      <w:pPr>
        <w:spacing w:before="0" w:after="0"/>
        <w:jc w:val="both"/>
        <w:rPr>
          <w:rFonts w:cs="Arial"/>
          <w:b/>
          <w:bCs/>
          <w:szCs w:val="24"/>
        </w:rPr>
      </w:pPr>
    </w:p>
    <w:p w14:paraId="23FA98B2" w14:textId="77777777" w:rsidR="001C1DC5" w:rsidRPr="00524272" w:rsidRDefault="001C1DC5" w:rsidP="00A46025">
      <w:pPr>
        <w:spacing w:before="0" w:after="0"/>
        <w:jc w:val="both"/>
        <w:rPr>
          <w:rFonts w:cs="Arial"/>
          <w:b/>
          <w:bCs/>
          <w:szCs w:val="24"/>
        </w:rPr>
      </w:pPr>
      <w:r w:rsidRPr="00524272">
        <w:rPr>
          <w:rFonts w:cs="Arial"/>
          <w:b/>
          <w:bCs/>
          <w:szCs w:val="24"/>
        </w:rPr>
        <w:t>Señores</w:t>
      </w:r>
    </w:p>
    <w:p w14:paraId="5FC0B2D0" w14:textId="77777777" w:rsidR="00D23209" w:rsidRPr="00524272" w:rsidRDefault="00D23209" w:rsidP="00A46025">
      <w:pPr>
        <w:pStyle w:val="Textoindependiente"/>
        <w:spacing w:before="0" w:after="0"/>
        <w:rPr>
          <w:color w:val="000000" w:themeColor="text1"/>
          <w:lang w:val="es-ES"/>
        </w:rPr>
      </w:pPr>
      <w:r w:rsidRPr="00524272">
        <w:rPr>
          <w:color w:val="000000" w:themeColor="text1"/>
        </w:rPr>
        <w:t>REPRESENTANTES LEGALES DE LAS ENTIDADES VIGILADAS POR LA SUPERINTENDENCIA FINANCERA</w:t>
      </w:r>
      <w:r w:rsidRPr="00524272">
        <w:rPr>
          <w:color w:val="000000" w:themeColor="text1"/>
          <w:lang w:val="es-ES"/>
        </w:rPr>
        <w:t xml:space="preserve">. </w:t>
      </w:r>
    </w:p>
    <w:p w14:paraId="7E98C0B5" w14:textId="77777777" w:rsidR="00A65541" w:rsidRDefault="00A65541" w:rsidP="00A46025">
      <w:pPr>
        <w:spacing w:before="0" w:after="0"/>
        <w:jc w:val="both"/>
        <w:rPr>
          <w:rFonts w:cs="Arial"/>
          <w:szCs w:val="24"/>
          <w:lang w:val="es-ES"/>
        </w:rPr>
      </w:pPr>
    </w:p>
    <w:p w14:paraId="4525D637" w14:textId="77777777" w:rsidR="00A46025" w:rsidRPr="00524272" w:rsidRDefault="00A46025" w:rsidP="00A46025">
      <w:pPr>
        <w:spacing w:before="0" w:after="0"/>
        <w:jc w:val="both"/>
        <w:rPr>
          <w:rFonts w:cs="Arial"/>
          <w:szCs w:val="24"/>
          <w:lang w:val="es-ES"/>
        </w:rPr>
      </w:pPr>
    </w:p>
    <w:p w14:paraId="34E8BD0E" w14:textId="351C1012" w:rsidR="00844612" w:rsidRPr="00524272" w:rsidRDefault="00844612" w:rsidP="00844612">
      <w:pPr>
        <w:jc w:val="both"/>
        <w:rPr>
          <w:rFonts w:cs="Arial"/>
          <w:b/>
          <w:szCs w:val="24"/>
        </w:rPr>
      </w:pPr>
      <w:r w:rsidRPr="00524272">
        <w:rPr>
          <w:rFonts w:cs="Arial"/>
          <w:b/>
          <w:bCs/>
          <w:szCs w:val="24"/>
        </w:rPr>
        <w:t xml:space="preserve">Referencia: </w:t>
      </w:r>
      <w:r w:rsidRPr="00524272">
        <w:rPr>
          <w:rFonts w:cs="Arial"/>
          <w:b/>
          <w:color w:val="000000" w:themeColor="text1"/>
          <w:szCs w:val="24"/>
        </w:rPr>
        <w:t xml:space="preserve">Instrucciones </w:t>
      </w:r>
      <w:r>
        <w:rPr>
          <w:rFonts w:cs="Arial"/>
          <w:b/>
          <w:color w:val="000000" w:themeColor="text1"/>
          <w:szCs w:val="24"/>
        </w:rPr>
        <w:t xml:space="preserve">prudenciales </w:t>
      </w:r>
      <w:r w:rsidRPr="00524272">
        <w:rPr>
          <w:rFonts w:cs="Arial"/>
          <w:b/>
          <w:color w:val="000000" w:themeColor="text1"/>
          <w:szCs w:val="24"/>
        </w:rPr>
        <w:t>para mitigar los efectos derivados de la coyuntura de los mercados financieros y la situación de emergencia sanitaria declarada por el Gobierno Nacional mediante Resolución No. 385 de 12 de marzo de 2020</w:t>
      </w:r>
      <w:r w:rsidR="00A97E00">
        <w:rPr>
          <w:rFonts w:cs="Arial"/>
          <w:b/>
          <w:color w:val="000000" w:themeColor="text1"/>
          <w:szCs w:val="24"/>
        </w:rPr>
        <w:t>, en los deudores del sistema financiero.</w:t>
      </w:r>
    </w:p>
    <w:p w14:paraId="77F55F52" w14:textId="77777777" w:rsidR="00524272" w:rsidRDefault="00524272" w:rsidP="00A46025">
      <w:pPr>
        <w:spacing w:before="0" w:after="0"/>
        <w:jc w:val="both"/>
        <w:rPr>
          <w:rFonts w:cs="Arial"/>
          <w:color w:val="000000" w:themeColor="text1"/>
          <w:szCs w:val="24"/>
        </w:rPr>
      </w:pPr>
    </w:p>
    <w:p w14:paraId="681AAB06" w14:textId="77777777" w:rsidR="001C1DC5" w:rsidRPr="00524272" w:rsidRDefault="00A65541" w:rsidP="00A46025">
      <w:pPr>
        <w:spacing w:before="0" w:after="0"/>
        <w:jc w:val="both"/>
        <w:rPr>
          <w:rFonts w:cs="Arial"/>
          <w:color w:val="000000" w:themeColor="text1"/>
          <w:szCs w:val="24"/>
        </w:rPr>
      </w:pPr>
      <w:r w:rsidRPr="00524272">
        <w:rPr>
          <w:rFonts w:cs="Arial"/>
          <w:color w:val="000000" w:themeColor="text1"/>
          <w:szCs w:val="24"/>
        </w:rPr>
        <w:t>Respetados</w:t>
      </w:r>
      <w:r w:rsidR="00A46025">
        <w:rPr>
          <w:rFonts w:cs="Arial"/>
          <w:color w:val="000000" w:themeColor="text1"/>
          <w:szCs w:val="24"/>
        </w:rPr>
        <w:t xml:space="preserve"> señores:</w:t>
      </w:r>
    </w:p>
    <w:p w14:paraId="621FF439" w14:textId="77777777" w:rsidR="00524272" w:rsidRPr="00524272" w:rsidRDefault="00524272" w:rsidP="00A46025">
      <w:pPr>
        <w:spacing w:before="0" w:after="0"/>
        <w:jc w:val="both"/>
        <w:rPr>
          <w:rFonts w:cs="Arial"/>
          <w:szCs w:val="24"/>
        </w:rPr>
      </w:pPr>
    </w:p>
    <w:p w14:paraId="26CC62C4" w14:textId="069CD72B" w:rsidR="00844612" w:rsidRPr="00524272" w:rsidRDefault="00844612" w:rsidP="00844612">
      <w:pPr>
        <w:jc w:val="both"/>
        <w:rPr>
          <w:rFonts w:cs="Arial"/>
          <w:color w:val="000000" w:themeColor="text1"/>
          <w:szCs w:val="24"/>
        </w:rPr>
      </w:pPr>
      <w:r w:rsidRPr="00524272">
        <w:rPr>
          <w:rFonts w:cs="Arial"/>
          <w:color w:val="000000" w:themeColor="text1"/>
          <w:szCs w:val="24"/>
        </w:rPr>
        <w:t>Colombia cuenta con un sistema financiero sólido que aplica altos estándares prudenciales y procedimientos de supervisión preventivos</w:t>
      </w:r>
      <w:r>
        <w:rPr>
          <w:rFonts w:cs="Arial"/>
          <w:color w:val="000000" w:themeColor="text1"/>
          <w:szCs w:val="24"/>
        </w:rPr>
        <w:t xml:space="preserve">, lo que </w:t>
      </w:r>
      <w:r w:rsidRPr="00524272">
        <w:rPr>
          <w:rFonts w:cs="Arial"/>
          <w:color w:val="000000" w:themeColor="text1"/>
          <w:szCs w:val="24"/>
        </w:rPr>
        <w:t>ha permitido afrontar retos coyunturales manteniendo la normal operación de las entidades financieras.</w:t>
      </w:r>
    </w:p>
    <w:p w14:paraId="09F5B4B3" w14:textId="7A94F7B6" w:rsidR="00844612" w:rsidRDefault="00844612" w:rsidP="00844612">
      <w:pPr>
        <w:jc w:val="both"/>
        <w:rPr>
          <w:rFonts w:cs="Arial"/>
          <w:color w:val="000000" w:themeColor="text1"/>
          <w:szCs w:val="24"/>
        </w:rPr>
      </w:pPr>
      <w:r w:rsidRPr="00524272">
        <w:rPr>
          <w:rFonts w:cs="Arial"/>
          <w:color w:val="000000" w:themeColor="text1"/>
          <w:szCs w:val="24"/>
        </w:rPr>
        <w:t xml:space="preserve">La situación de estrés generada por la emergencia sanitaria y otros choques externos </w:t>
      </w:r>
      <w:r w:rsidR="00966582">
        <w:rPr>
          <w:rFonts w:cs="Arial"/>
          <w:color w:val="000000" w:themeColor="text1"/>
          <w:szCs w:val="24"/>
        </w:rPr>
        <w:t xml:space="preserve">requiere </w:t>
      </w:r>
      <w:r>
        <w:rPr>
          <w:rFonts w:cs="Arial"/>
          <w:color w:val="000000" w:themeColor="text1"/>
          <w:szCs w:val="24"/>
        </w:rPr>
        <w:t xml:space="preserve">que </w:t>
      </w:r>
      <w:r w:rsidRPr="00524272">
        <w:rPr>
          <w:rFonts w:cs="Arial"/>
          <w:color w:val="000000" w:themeColor="text1"/>
          <w:szCs w:val="24"/>
        </w:rPr>
        <w:t>las entidades vigiladas y las autoridades económicas prioricen sus esfuerzos con el fin de mantener la estabilidad del sistema financiero y la confianza del público en el mismo. Por lo tanto, esta Superintendencia encuentra necesario disponer medidas de carácter transitorio que busquen mitigar los efectos directos e indirectos de la actual coyuntura</w:t>
      </w:r>
      <w:r>
        <w:rPr>
          <w:rFonts w:cs="Arial"/>
          <w:color w:val="000000" w:themeColor="text1"/>
          <w:szCs w:val="24"/>
        </w:rPr>
        <w:t>.</w:t>
      </w:r>
    </w:p>
    <w:p w14:paraId="2862E73B" w14:textId="62306D7E" w:rsidR="00844612" w:rsidRDefault="00844612" w:rsidP="00844612">
      <w:pPr>
        <w:jc w:val="both"/>
        <w:rPr>
          <w:rFonts w:cs="Arial"/>
          <w:color w:val="000000" w:themeColor="text1"/>
          <w:szCs w:val="24"/>
        </w:rPr>
      </w:pPr>
      <w:r>
        <w:rPr>
          <w:rFonts w:cs="Arial"/>
          <w:color w:val="000000" w:themeColor="text1"/>
          <w:szCs w:val="24"/>
        </w:rPr>
        <w:t xml:space="preserve">En particular, vale la pena mencionar que los establecimientos de crédito </w:t>
      </w:r>
      <w:r w:rsidR="00062066">
        <w:rPr>
          <w:rFonts w:cs="Arial"/>
          <w:color w:val="000000" w:themeColor="text1"/>
          <w:szCs w:val="24"/>
        </w:rPr>
        <w:t xml:space="preserve">hoy </w:t>
      </w:r>
      <w:r>
        <w:rPr>
          <w:rFonts w:cs="Arial"/>
          <w:color w:val="000000" w:themeColor="text1"/>
          <w:szCs w:val="24"/>
        </w:rPr>
        <w:t xml:space="preserve">cuentan con mecanismos que les permiten atender y manejar con sus deudores </w:t>
      </w:r>
      <w:r w:rsidR="00966582">
        <w:rPr>
          <w:rFonts w:cs="Arial"/>
          <w:color w:val="000000" w:themeColor="text1"/>
          <w:szCs w:val="24"/>
        </w:rPr>
        <w:t xml:space="preserve">cambios </w:t>
      </w:r>
      <w:r>
        <w:rPr>
          <w:rFonts w:cs="Arial"/>
          <w:color w:val="000000" w:themeColor="text1"/>
          <w:szCs w:val="24"/>
        </w:rPr>
        <w:t>a las condiciones de los créditos en escenarios de viabilidad financiera que propendan por mantener el adecuado pago de las obligaciones, sin embargo, es necesario incorporar algunas instrucciones temporales con el fin de atender situaciones de carácter masivo.</w:t>
      </w:r>
    </w:p>
    <w:p w14:paraId="00170F29" w14:textId="77777777" w:rsidR="00175470" w:rsidRDefault="00076965" w:rsidP="00A46025">
      <w:pPr>
        <w:spacing w:before="0" w:after="0"/>
        <w:jc w:val="both"/>
        <w:rPr>
          <w:rFonts w:cs="Arial"/>
          <w:color w:val="000000" w:themeColor="text1"/>
          <w:szCs w:val="24"/>
        </w:rPr>
      </w:pPr>
      <w:r w:rsidRPr="00524272">
        <w:rPr>
          <w:rFonts w:cs="Arial"/>
          <w:color w:val="000000" w:themeColor="text1"/>
          <w:szCs w:val="24"/>
        </w:rPr>
        <w:t>En consecuencia</w:t>
      </w:r>
      <w:r w:rsidR="006F1DF6" w:rsidRPr="00524272">
        <w:rPr>
          <w:rFonts w:cs="Arial"/>
          <w:color w:val="000000" w:themeColor="text1"/>
          <w:szCs w:val="24"/>
        </w:rPr>
        <w:t xml:space="preserve"> y</w:t>
      </w:r>
      <w:r w:rsidR="00A65541" w:rsidRPr="00524272">
        <w:rPr>
          <w:rFonts w:cs="Arial"/>
          <w:color w:val="000000" w:themeColor="text1"/>
          <w:szCs w:val="24"/>
        </w:rPr>
        <w:t xml:space="preserve"> </w:t>
      </w:r>
      <w:r w:rsidR="003B2B48" w:rsidRPr="00524272">
        <w:rPr>
          <w:rFonts w:cs="Arial"/>
          <w:color w:val="000000" w:themeColor="text1"/>
          <w:szCs w:val="24"/>
        </w:rPr>
        <w:t>en ejercicio de las</w:t>
      </w:r>
      <w:r w:rsidR="001C1DC5" w:rsidRPr="00524272">
        <w:rPr>
          <w:rFonts w:cs="Arial"/>
          <w:color w:val="000000" w:themeColor="text1"/>
          <w:szCs w:val="24"/>
        </w:rPr>
        <w:t xml:space="preserve"> facultades legales,</w:t>
      </w:r>
      <w:r w:rsidR="008C7805" w:rsidRPr="00524272">
        <w:rPr>
          <w:rFonts w:cs="Arial"/>
          <w:color w:val="000000" w:themeColor="text1"/>
          <w:szCs w:val="24"/>
        </w:rPr>
        <w:t xml:space="preserve"> </w:t>
      </w:r>
      <w:r w:rsidR="001C1DC5" w:rsidRPr="00524272">
        <w:rPr>
          <w:rFonts w:cs="Arial"/>
          <w:color w:val="000000" w:themeColor="text1"/>
          <w:szCs w:val="24"/>
        </w:rPr>
        <w:t>en especial las conferidas en</w:t>
      </w:r>
      <w:r w:rsidR="001C17E8">
        <w:rPr>
          <w:rFonts w:cs="Arial"/>
          <w:color w:val="000000" w:themeColor="text1"/>
          <w:szCs w:val="24"/>
        </w:rPr>
        <w:t xml:space="preserve"> el literal </w:t>
      </w:r>
      <w:r w:rsidR="00D80772" w:rsidRPr="00524272">
        <w:rPr>
          <w:rFonts w:cs="Arial"/>
          <w:color w:val="000000" w:themeColor="text1"/>
          <w:szCs w:val="24"/>
        </w:rPr>
        <w:t xml:space="preserve">a) </w:t>
      </w:r>
      <w:r w:rsidR="001C17E8">
        <w:rPr>
          <w:rFonts w:cs="Arial"/>
          <w:color w:val="000000" w:themeColor="text1"/>
          <w:szCs w:val="24"/>
        </w:rPr>
        <w:t xml:space="preserve">del numeral </w:t>
      </w:r>
      <w:r w:rsidR="00D80772" w:rsidRPr="00524272">
        <w:rPr>
          <w:rFonts w:cs="Arial"/>
          <w:color w:val="000000" w:themeColor="text1"/>
          <w:szCs w:val="24"/>
        </w:rPr>
        <w:t>3) del artículo 326 del Estatuto Orgánico del Sistema Financiero</w:t>
      </w:r>
      <w:r w:rsidR="00185FA4" w:rsidRPr="00524272">
        <w:rPr>
          <w:rFonts w:cs="Arial"/>
          <w:color w:val="000000" w:themeColor="text1"/>
          <w:szCs w:val="24"/>
        </w:rPr>
        <w:t xml:space="preserve"> </w:t>
      </w:r>
      <w:r w:rsidR="00D80772" w:rsidRPr="00524272">
        <w:rPr>
          <w:rFonts w:cs="Arial"/>
          <w:color w:val="000000" w:themeColor="text1"/>
          <w:szCs w:val="24"/>
        </w:rPr>
        <w:t xml:space="preserve">y en </w:t>
      </w:r>
      <w:r w:rsidR="003F51E8" w:rsidRPr="00524272">
        <w:rPr>
          <w:rFonts w:cs="Arial"/>
          <w:color w:val="000000" w:themeColor="text1"/>
          <w:szCs w:val="24"/>
        </w:rPr>
        <w:t xml:space="preserve">los numerales </w:t>
      </w:r>
      <w:r w:rsidR="003B2B48" w:rsidRPr="00524272">
        <w:rPr>
          <w:rFonts w:cs="Arial"/>
          <w:color w:val="000000" w:themeColor="text1"/>
          <w:szCs w:val="24"/>
        </w:rPr>
        <w:t xml:space="preserve">4°, </w:t>
      </w:r>
      <w:r w:rsidR="001C1DC5" w:rsidRPr="00524272">
        <w:rPr>
          <w:rFonts w:cs="Arial"/>
          <w:color w:val="000000" w:themeColor="text1"/>
          <w:szCs w:val="24"/>
        </w:rPr>
        <w:t>5</w:t>
      </w:r>
      <w:r w:rsidR="00185FA4" w:rsidRPr="00524272">
        <w:rPr>
          <w:rFonts w:cs="Arial"/>
          <w:color w:val="000000" w:themeColor="text1"/>
          <w:szCs w:val="24"/>
        </w:rPr>
        <w:t>°</w:t>
      </w:r>
      <w:r w:rsidR="003B2B48" w:rsidRPr="00524272">
        <w:rPr>
          <w:rFonts w:cs="Arial"/>
          <w:color w:val="000000" w:themeColor="text1"/>
          <w:szCs w:val="24"/>
        </w:rPr>
        <w:t xml:space="preserve"> y 6°</w:t>
      </w:r>
      <w:r w:rsidR="00EA77C6" w:rsidRPr="00524272">
        <w:rPr>
          <w:rFonts w:cs="Arial"/>
          <w:color w:val="000000" w:themeColor="text1"/>
          <w:szCs w:val="24"/>
        </w:rPr>
        <w:t xml:space="preserve"> </w:t>
      </w:r>
      <w:r w:rsidR="001C1DC5" w:rsidRPr="00524272">
        <w:rPr>
          <w:rFonts w:cs="Arial"/>
          <w:color w:val="000000" w:themeColor="text1"/>
          <w:szCs w:val="24"/>
        </w:rPr>
        <w:t>del artículo 11.2.1.4.2 del Decreto 2555 de 2010</w:t>
      </w:r>
      <w:r w:rsidR="00101240" w:rsidRPr="00524272">
        <w:rPr>
          <w:rFonts w:cs="Arial"/>
          <w:color w:val="000000" w:themeColor="text1"/>
          <w:szCs w:val="24"/>
        </w:rPr>
        <w:t>,</w:t>
      </w:r>
      <w:r w:rsidR="003B2B48" w:rsidRPr="00524272">
        <w:rPr>
          <w:rFonts w:cs="Arial"/>
          <w:color w:val="000000" w:themeColor="text1"/>
          <w:szCs w:val="24"/>
        </w:rPr>
        <w:t xml:space="preserve"> esta Superintendencia </w:t>
      </w:r>
      <w:r w:rsidR="001C1DC5" w:rsidRPr="00524272">
        <w:rPr>
          <w:rFonts w:cs="Arial"/>
          <w:color w:val="000000" w:themeColor="text1"/>
          <w:szCs w:val="24"/>
        </w:rPr>
        <w:t>imparte las siguientes instrucciones</w:t>
      </w:r>
      <w:r w:rsidR="00EA77C6" w:rsidRPr="00524272">
        <w:rPr>
          <w:rFonts w:cs="Arial"/>
          <w:color w:val="000000" w:themeColor="text1"/>
          <w:szCs w:val="24"/>
        </w:rPr>
        <w:t xml:space="preserve"> transitorias</w:t>
      </w:r>
      <w:r w:rsidR="001C1DC5" w:rsidRPr="00524272">
        <w:rPr>
          <w:rFonts w:cs="Arial"/>
          <w:color w:val="000000" w:themeColor="text1"/>
          <w:szCs w:val="24"/>
        </w:rPr>
        <w:t>:</w:t>
      </w:r>
    </w:p>
    <w:p w14:paraId="0FAD4B73" w14:textId="77777777" w:rsidR="00C53CCF" w:rsidRDefault="00C53CCF" w:rsidP="00A46025">
      <w:pPr>
        <w:spacing w:before="0" w:after="0"/>
        <w:jc w:val="both"/>
        <w:rPr>
          <w:rFonts w:cs="Arial"/>
          <w:color w:val="000000" w:themeColor="text1"/>
          <w:szCs w:val="24"/>
        </w:rPr>
      </w:pPr>
    </w:p>
    <w:p w14:paraId="3F3023D9" w14:textId="17A25965" w:rsidR="00175470" w:rsidRPr="00C53CCF" w:rsidRDefault="00175470" w:rsidP="005C247D">
      <w:pPr>
        <w:spacing w:before="0" w:after="0"/>
        <w:jc w:val="both"/>
        <w:rPr>
          <w:rFonts w:cs="Arial"/>
          <w:color w:val="000000" w:themeColor="text1"/>
          <w:szCs w:val="24"/>
        </w:rPr>
      </w:pPr>
      <w:r w:rsidRPr="00175470">
        <w:rPr>
          <w:rFonts w:cs="Arial"/>
          <w:b/>
          <w:color w:val="000000" w:themeColor="text1"/>
          <w:szCs w:val="24"/>
        </w:rPr>
        <w:t>PRIMER</w:t>
      </w:r>
      <w:r w:rsidR="00466D44">
        <w:rPr>
          <w:rFonts w:cs="Arial"/>
          <w:b/>
          <w:color w:val="000000" w:themeColor="text1"/>
          <w:szCs w:val="24"/>
        </w:rPr>
        <w:t>A</w:t>
      </w:r>
      <w:r w:rsidRPr="00175470">
        <w:rPr>
          <w:rFonts w:cs="Arial"/>
          <w:b/>
          <w:color w:val="000000" w:themeColor="text1"/>
          <w:szCs w:val="24"/>
        </w:rPr>
        <w:t>:</w:t>
      </w:r>
      <w:r>
        <w:rPr>
          <w:rFonts w:cs="Arial"/>
          <w:color w:val="000000" w:themeColor="text1"/>
          <w:szCs w:val="24"/>
        </w:rPr>
        <w:t xml:space="preserve"> </w:t>
      </w:r>
      <w:r w:rsidR="004B690F">
        <w:rPr>
          <w:rFonts w:cs="Arial"/>
          <w:szCs w:val="24"/>
        </w:rPr>
        <w:t>L</w:t>
      </w:r>
      <w:r w:rsidR="00C53CCF" w:rsidRPr="00C53CCF">
        <w:rPr>
          <w:rFonts w:cs="Arial"/>
          <w:szCs w:val="24"/>
        </w:rPr>
        <w:t xml:space="preserve">os establecimientos de crédito deben </w:t>
      </w:r>
      <w:r w:rsidR="004B690F">
        <w:rPr>
          <w:rFonts w:cs="Arial"/>
          <w:szCs w:val="24"/>
        </w:rPr>
        <w:t xml:space="preserve">establecer políticas </w:t>
      </w:r>
      <w:r w:rsidR="0082589C">
        <w:rPr>
          <w:rFonts w:cs="Arial"/>
          <w:szCs w:val="24"/>
        </w:rPr>
        <w:t xml:space="preserve">y procedimientos efectivos </w:t>
      </w:r>
      <w:r w:rsidR="004B690F">
        <w:rPr>
          <w:rFonts w:cs="Arial"/>
          <w:szCs w:val="24"/>
        </w:rPr>
        <w:t xml:space="preserve">para identificar los </w:t>
      </w:r>
      <w:r w:rsidR="00B55056">
        <w:rPr>
          <w:rFonts w:cs="Arial"/>
          <w:szCs w:val="24"/>
        </w:rPr>
        <w:t xml:space="preserve">clientes </w:t>
      </w:r>
      <w:r w:rsidR="004B690F">
        <w:rPr>
          <w:rFonts w:cs="Arial"/>
          <w:szCs w:val="24"/>
        </w:rPr>
        <w:t xml:space="preserve">que serán objeto </w:t>
      </w:r>
      <w:r w:rsidRPr="00C53CCF">
        <w:rPr>
          <w:rFonts w:cs="Arial"/>
          <w:szCs w:val="24"/>
          <w:lang w:val="es-MX"/>
        </w:rPr>
        <w:t xml:space="preserve">de </w:t>
      </w:r>
      <w:r w:rsidR="005C247D">
        <w:rPr>
          <w:rFonts w:cs="Arial"/>
          <w:szCs w:val="24"/>
          <w:lang w:val="es-MX"/>
        </w:rPr>
        <w:t>la</w:t>
      </w:r>
      <w:r w:rsidR="00C53CCF" w:rsidRPr="00C53CCF">
        <w:rPr>
          <w:rFonts w:cs="Arial"/>
          <w:szCs w:val="24"/>
          <w:lang w:val="es-MX"/>
        </w:rPr>
        <w:t xml:space="preserve"> </w:t>
      </w:r>
      <w:r w:rsidR="005C247D">
        <w:rPr>
          <w:rFonts w:cs="Arial"/>
          <w:szCs w:val="24"/>
          <w:lang w:val="es-MX"/>
        </w:rPr>
        <w:t xml:space="preserve">aplicación </w:t>
      </w:r>
      <w:r w:rsidR="0082589C">
        <w:rPr>
          <w:rFonts w:cs="Arial"/>
          <w:szCs w:val="24"/>
          <w:lang w:val="es-MX"/>
        </w:rPr>
        <w:t xml:space="preserve">ágil </w:t>
      </w:r>
      <w:r w:rsidR="005C247D">
        <w:rPr>
          <w:rFonts w:cs="Arial"/>
          <w:szCs w:val="24"/>
          <w:lang w:val="es-MX"/>
        </w:rPr>
        <w:t xml:space="preserve">de medidas especiales </w:t>
      </w:r>
      <w:r w:rsidR="005C247D" w:rsidRPr="00C53CCF">
        <w:rPr>
          <w:rFonts w:cs="Arial"/>
          <w:szCs w:val="24"/>
          <w:lang w:val="es-MX"/>
        </w:rPr>
        <w:t>para atender la coyuntura</w:t>
      </w:r>
      <w:r w:rsidR="002261A0">
        <w:rPr>
          <w:rFonts w:cs="Arial"/>
          <w:szCs w:val="24"/>
          <w:lang w:val="es-MX"/>
        </w:rPr>
        <w:t>, dando énfasis a aquellos</w:t>
      </w:r>
      <w:r w:rsidR="00B55056">
        <w:rPr>
          <w:rFonts w:cs="Arial"/>
          <w:szCs w:val="24"/>
          <w:lang w:val="es-MX"/>
        </w:rPr>
        <w:t xml:space="preserve"> segmentos o sectores</w:t>
      </w:r>
      <w:r w:rsidR="002261A0">
        <w:rPr>
          <w:rFonts w:cs="Arial"/>
          <w:szCs w:val="24"/>
          <w:lang w:val="es-MX"/>
        </w:rPr>
        <w:t xml:space="preserve"> determinados como de especial atención por el Gobierno Nacional</w:t>
      </w:r>
      <w:r w:rsidR="005C247D">
        <w:rPr>
          <w:rFonts w:cs="Arial"/>
          <w:szCs w:val="24"/>
          <w:lang w:val="es-MX"/>
        </w:rPr>
        <w:t>. Estas medidas consideran como mínimo:</w:t>
      </w:r>
    </w:p>
    <w:p w14:paraId="34DC0D35" w14:textId="77777777" w:rsidR="00466D44" w:rsidRPr="00175470" w:rsidRDefault="00466D44" w:rsidP="00466D44">
      <w:pPr>
        <w:pStyle w:val="Prrafodelista"/>
        <w:ind w:left="360"/>
        <w:jc w:val="both"/>
        <w:rPr>
          <w:rFonts w:cs="Arial"/>
          <w:color w:val="000000" w:themeColor="text1"/>
          <w:szCs w:val="24"/>
        </w:rPr>
      </w:pPr>
    </w:p>
    <w:p w14:paraId="78F367C4" w14:textId="3855310F" w:rsidR="00466D44" w:rsidRDefault="00175470" w:rsidP="005B41C0">
      <w:pPr>
        <w:pStyle w:val="Prrafodelista"/>
        <w:numPr>
          <w:ilvl w:val="0"/>
          <w:numId w:val="2"/>
        </w:numPr>
        <w:jc w:val="both"/>
        <w:rPr>
          <w:rFonts w:cs="Arial"/>
          <w:color w:val="000000" w:themeColor="text1"/>
          <w:szCs w:val="24"/>
        </w:rPr>
      </w:pPr>
      <w:r>
        <w:rPr>
          <w:rFonts w:cs="Arial"/>
          <w:szCs w:val="24"/>
        </w:rPr>
        <w:t>Para los créditos que</w:t>
      </w:r>
      <w:r w:rsidR="0082589C">
        <w:rPr>
          <w:rFonts w:cs="Arial"/>
          <w:szCs w:val="24"/>
        </w:rPr>
        <w:t xml:space="preserve"> al 29 de </w:t>
      </w:r>
      <w:r w:rsidR="00B55056">
        <w:rPr>
          <w:rFonts w:cs="Arial"/>
          <w:szCs w:val="24"/>
        </w:rPr>
        <w:t>febrero</w:t>
      </w:r>
      <w:r w:rsidR="0082589C">
        <w:rPr>
          <w:rFonts w:cs="Arial"/>
          <w:szCs w:val="24"/>
        </w:rPr>
        <w:t xml:space="preserve"> de 2020 </w:t>
      </w:r>
      <w:r>
        <w:rPr>
          <w:rFonts w:cs="Arial"/>
          <w:szCs w:val="24"/>
        </w:rPr>
        <w:t xml:space="preserve">no presenten </w:t>
      </w:r>
      <w:r w:rsidR="004B690F">
        <w:rPr>
          <w:rFonts w:cs="Arial"/>
          <w:szCs w:val="24"/>
        </w:rPr>
        <w:t xml:space="preserve">mora mayor </w:t>
      </w:r>
      <w:r w:rsidR="005C247D">
        <w:rPr>
          <w:rFonts w:cs="Arial"/>
          <w:szCs w:val="24"/>
        </w:rPr>
        <w:t xml:space="preserve">o igual a </w:t>
      </w:r>
      <w:r w:rsidR="000818F9">
        <w:rPr>
          <w:rFonts w:cs="Arial"/>
          <w:szCs w:val="24"/>
        </w:rPr>
        <w:t>3</w:t>
      </w:r>
      <w:r w:rsidR="004B690F">
        <w:rPr>
          <w:rFonts w:cs="Arial"/>
          <w:szCs w:val="24"/>
        </w:rPr>
        <w:t>0 días</w:t>
      </w:r>
      <w:r w:rsidR="00CA57AC">
        <w:rPr>
          <w:rFonts w:cs="Arial"/>
          <w:szCs w:val="24"/>
        </w:rPr>
        <w:t xml:space="preserve"> (incluidos modificados y/o </w:t>
      </w:r>
      <w:r w:rsidR="00001A4F">
        <w:rPr>
          <w:rFonts w:cs="Arial"/>
          <w:szCs w:val="24"/>
        </w:rPr>
        <w:t>reestructurados</w:t>
      </w:r>
      <w:r w:rsidR="00CA57AC">
        <w:rPr>
          <w:rFonts w:cs="Arial"/>
          <w:szCs w:val="24"/>
        </w:rPr>
        <w:t>)</w:t>
      </w:r>
      <w:r>
        <w:rPr>
          <w:rFonts w:cs="Arial"/>
          <w:szCs w:val="24"/>
        </w:rPr>
        <w:t xml:space="preserve">, podrán </w:t>
      </w:r>
      <w:r>
        <w:rPr>
          <w:rFonts w:cs="Arial"/>
          <w:szCs w:val="24"/>
          <w:lang w:val="es-MX"/>
        </w:rPr>
        <w:t xml:space="preserve">establecer </w:t>
      </w:r>
      <w:r w:rsidRPr="00175470">
        <w:rPr>
          <w:rFonts w:cs="Arial"/>
          <w:szCs w:val="24"/>
          <w:lang w:val="es-MX"/>
        </w:rPr>
        <w:t>periodos de gracia</w:t>
      </w:r>
      <w:r w:rsidR="0082589C">
        <w:rPr>
          <w:rFonts w:cs="Arial"/>
          <w:szCs w:val="24"/>
          <w:lang w:val="es-MX"/>
        </w:rPr>
        <w:t xml:space="preserve"> que atiendan la situación particular del cliente</w:t>
      </w:r>
      <w:r w:rsidR="00EE3066">
        <w:rPr>
          <w:rFonts w:cs="Arial"/>
          <w:szCs w:val="24"/>
          <w:lang w:val="es-MX"/>
        </w:rPr>
        <w:t>, sin</w:t>
      </w:r>
      <w:r>
        <w:rPr>
          <w:rFonts w:cs="Arial"/>
          <w:szCs w:val="24"/>
          <w:lang w:val="es-MX"/>
        </w:rPr>
        <w:t xml:space="preserve"> que el mismo se considere como un</w:t>
      </w:r>
      <w:r w:rsidR="00C53CCF">
        <w:rPr>
          <w:rFonts w:cs="Arial"/>
          <w:szCs w:val="24"/>
          <w:lang w:val="es-MX"/>
        </w:rPr>
        <w:t xml:space="preserve"> factor </w:t>
      </w:r>
      <w:r>
        <w:rPr>
          <w:rFonts w:cs="Arial"/>
          <w:szCs w:val="24"/>
          <w:lang w:val="es-MX"/>
        </w:rPr>
        <w:t>de mayor riesgo</w:t>
      </w:r>
      <w:r w:rsidRPr="00175470">
        <w:rPr>
          <w:rFonts w:cs="Arial"/>
          <w:szCs w:val="24"/>
          <w:lang w:val="es-MX"/>
        </w:rPr>
        <w:t>.</w:t>
      </w:r>
      <w:r w:rsidR="00EE3066">
        <w:rPr>
          <w:rFonts w:cs="Arial"/>
          <w:szCs w:val="24"/>
          <w:lang w:val="es-MX"/>
        </w:rPr>
        <w:t xml:space="preserve"> En estos casos la entidad podrá continuar </w:t>
      </w:r>
      <w:r w:rsidR="00EE3066" w:rsidRPr="00526455">
        <w:rPr>
          <w:rFonts w:cs="Arial"/>
          <w:color w:val="000000"/>
          <w:szCs w:val="24"/>
        </w:rPr>
        <w:t>la causación de intereses y demás conceptos</w:t>
      </w:r>
      <w:r w:rsidR="0082589C">
        <w:rPr>
          <w:rFonts w:cs="Arial"/>
          <w:color w:val="000000"/>
          <w:szCs w:val="24"/>
        </w:rPr>
        <w:t xml:space="preserve"> durante este periodo</w:t>
      </w:r>
      <w:r w:rsidR="00EE3066">
        <w:rPr>
          <w:rFonts w:cs="Arial"/>
          <w:szCs w:val="24"/>
          <w:lang w:val="es-MX"/>
        </w:rPr>
        <w:t>.</w:t>
      </w:r>
    </w:p>
    <w:p w14:paraId="2CE0CF47" w14:textId="01872936" w:rsidR="004B690F" w:rsidRDefault="00466D44" w:rsidP="004B690F">
      <w:pPr>
        <w:spacing w:before="0" w:after="0"/>
        <w:ind w:left="708"/>
        <w:jc w:val="both"/>
        <w:rPr>
          <w:rFonts w:cs="Arial"/>
          <w:szCs w:val="24"/>
          <w:lang w:val="es-MX"/>
        </w:rPr>
      </w:pPr>
      <w:r w:rsidRPr="00147B15">
        <w:rPr>
          <w:rFonts w:cs="Arial"/>
          <w:color w:val="000000" w:themeColor="text1"/>
          <w:szCs w:val="24"/>
        </w:rPr>
        <w:lastRenderedPageBreak/>
        <w:t>A</w:t>
      </w:r>
      <w:r w:rsidRPr="00147B15">
        <w:rPr>
          <w:rFonts w:cs="Arial"/>
          <w:szCs w:val="24"/>
          <w:lang w:val="es-MX"/>
        </w:rPr>
        <w:t xml:space="preserve">l cumplirse dicho </w:t>
      </w:r>
      <w:r w:rsidR="0082589C">
        <w:rPr>
          <w:rFonts w:cs="Arial"/>
          <w:szCs w:val="24"/>
          <w:lang w:val="es-MX"/>
        </w:rPr>
        <w:t xml:space="preserve">periodo </w:t>
      </w:r>
      <w:r w:rsidR="005C247D">
        <w:rPr>
          <w:rFonts w:cs="Arial"/>
          <w:szCs w:val="24"/>
          <w:lang w:val="es-MX"/>
        </w:rPr>
        <w:t xml:space="preserve">y con el fin de restablecer la viabilidad financiera del deudor, las entidades </w:t>
      </w:r>
      <w:r w:rsidR="004B690F">
        <w:rPr>
          <w:rFonts w:cs="Arial"/>
          <w:szCs w:val="24"/>
          <w:lang w:val="es-MX"/>
        </w:rPr>
        <w:t xml:space="preserve">podrán </w:t>
      </w:r>
      <w:r w:rsidR="005C247D">
        <w:rPr>
          <w:rFonts w:cs="Arial"/>
          <w:szCs w:val="24"/>
          <w:lang w:val="es-MX"/>
        </w:rPr>
        <w:t xml:space="preserve">aplicar los mecanismos establecidos </w:t>
      </w:r>
      <w:r w:rsidR="004B690F">
        <w:rPr>
          <w:rFonts w:cs="Arial"/>
          <w:szCs w:val="24"/>
          <w:lang w:val="es-MX"/>
        </w:rPr>
        <w:t xml:space="preserve">en la Circular Externa 026 de 2017 </w:t>
      </w:r>
      <w:r w:rsidR="00062066">
        <w:rPr>
          <w:rFonts w:cs="Arial"/>
          <w:szCs w:val="24"/>
          <w:lang w:val="es-MX"/>
        </w:rPr>
        <w:t>y sus modificaciones</w:t>
      </w:r>
      <w:r w:rsidR="004B690F">
        <w:rPr>
          <w:rFonts w:cs="Arial"/>
          <w:szCs w:val="24"/>
          <w:lang w:val="es-MX"/>
        </w:rPr>
        <w:t>.</w:t>
      </w:r>
    </w:p>
    <w:p w14:paraId="71F7DFD2" w14:textId="4D5263F7" w:rsidR="002811C3" w:rsidRDefault="002811C3" w:rsidP="004B690F">
      <w:pPr>
        <w:spacing w:before="0" w:after="0"/>
        <w:ind w:left="708"/>
        <w:jc w:val="both"/>
        <w:rPr>
          <w:rFonts w:cs="Arial"/>
          <w:szCs w:val="24"/>
          <w:lang w:val="es-MX"/>
        </w:rPr>
      </w:pPr>
    </w:p>
    <w:p w14:paraId="476A8701" w14:textId="07621450" w:rsidR="002811C3" w:rsidRDefault="00080972" w:rsidP="002811C3">
      <w:pPr>
        <w:pStyle w:val="Prrafodelista"/>
        <w:numPr>
          <w:ilvl w:val="0"/>
          <w:numId w:val="2"/>
        </w:numPr>
        <w:jc w:val="both"/>
        <w:rPr>
          <w:rFonts w:cs="Arial"/>
          <w:color w:val="000000" w:themeColor="text1"/>
          <w:szCs w:val="24"/>
        </w:rPr>
      </w:pPr>
      <w:r>
        <w:rPr>
          <w:rFonts w:cs="Arial"/>
          <w:color w:val="000000" w:themeColor="text1"/>
          <w:szCs w:val="24"/>
        </w:rPr>
        <w:t xml:space="preserve">Por el periodo de </w:t>
      </w:r>
      <w:r w:rsidR="0082589C">
        <w:rPr>
          <w:rFonts w:cs="Arial"/>
          <w:color w:val="000000" w:themeColor="text1"/>
          <w:szCs w:val="24"/>
        </w:rPr>
        <w:t>gracia establecido</w:t>
      </w:r>
      <w:r w:rsidR="002811C3">
        <w:rPr>
          <w:rFonts w:cs="Arial"/>
          <w:color w:val="000000" w:themeColor="text1"/>
          <w:szCs w:val="24"/>
        </w:rPr>
        <w:t xml:space="preserve">, estos créditos conservarán la calificación que tenían al </w:t>
      </w:r>
      <w:r w:rsidR="0082589C">
        <w:rPr>
          <w:rFonts w:cs="Arial"/>
          <w:color w:val="000000" w:themeColor="text1"/>
          <w:szCs w:val="24"/>
        </w:rPr>
        <w:t>29 de febrero de 2020</w:t>
      </w:r>
      <w:r w:rsidR="002811C3">
        <w:rPr>
          <w:rFonts w:cs="Arial"/>
          <w:color w:val="000000" w:themeColor="text1"/>
          <w:szCs w:val="24"/>
        </w:rPr>
        <w:t xml:space="preserve">, y sólo después del mismo deben </w:t>
      </w:r>
      <w:r w:rsidR="0082589C">
        <w:rPr>
          <w:rFonts w:cs="Arial"/>
          <w:color w:val="000000" w:themeColor="text1"/>
          <w:szCs w:val="24"/>
        </w:rPr>
        <w:t>re</w:t>
      </w:r>
      <w:r w:rsidR="002811C3">
        <w:rPr>
          <w:rFonts w:cs="Arial"/>
          <w:color w:val="000000" w:themeColor="text1"/>
          <w:szCs w:val="24"/>
        </w:rPr>
        <w:t>calificarse de acuerdo con el análisis de riesgo de la entidad.</w:t>
      </w:r>
      <w:r w:rsidR="004D1281">
        <w:rPr>
          <w:rFonts w:cs="Arial"/>
          <w:color w:val="000000" w:themeColor="text1"/>
          <w:szCs w:val="24"/>
        </w:rPr>
        <w:t xml:space="preserve"> Por lo tanto</w:t>
      </w:r>
      <w:r w:rsidR="00AA27D3">
        <w:rPr>
          <w:rFonts w:cs="Arial"/>
          <w:color w:val="000000" w:themeColor="text1"/>
          <w:szCs w:val="24"/>
        </w:rPr>
        <w:t>,</w:t>
      </w:r>
      <w:r w:rsidR="004D1281">
        <w:rPr>
          <w:rFonts w:cs="Arial"/>
          <w:color w:val="000000" w:themeColor="text1"/>
          <w:szCs w:val="24"/>
        </w:rPr>
        <w:t xml:space="preserve"> durante dicho periodo su calificación en las centrales de riesgo se mantendrá inalterada.</w:t>
      </w:r>
    </w:p>
    <w:p w14:paraId="7FF68FE5" w14:textId="77777777" w:rsidR="000F5BC1" w:rsidRDefault="000F5BC1" w:rsidP="000F5BC1">
      <w:pPr>
        <w:pStyle w:val="Prrafodelista"/>
        <w:jc w:val="both"/>
        <w:rPr>
          <w:rFonts w:cs="Arial"/>
          <w:color w:val="000000" w:themeColor="text1"/>
          <w:szCs w:val="24"/>
        </w:rPr>
      </w:pPr>
    </w:p>
    <w:p w14:paraId="3FA2D0EC" w14:textId="6435D343" w:rsidR="000F5BC1" w:rsidRDefault="000F5BC1" w:rsidP="000F5BC1">
      <w:pPr>
        <w:pStyle w:val="Prrafodelista"/>
        <w:numPr>
          <w:ilvl w:val="0"/>
          <w:numId w:val="2"/>
        </w:numPr>
        <w:jc w:val="both"/>
        <w:rPr>
          <w:rFonts w:cs="Arial"/>
          <w:color w:val="000000" w:themeColor="text1"/>
          <w:szCs w:val="24"/>
        </w:rPr>
      </w:pPr>
      <w:r>
        <w:rPr>
          <w:rFonts w:cs="Arial"/>
          <w:color w:val="000000" w:themeColor="text1"/>
          <w:szCs w:val="24"/>
        </w:rPr>
        <w:t>Tratándose de créditos rotativos y tarjetas de créditos para los clientes que se encuentren en las condiciones aquí previstas, no procederá por parte de la entidad la restricción en la disponibilidad de los cupos, salvo que por consideraciones de riesgo las entidades así lo determinen.</w:t>
      </w:r>
    </w:p>
    <w:p w14:paraId="58B1FF7A" w14:textId="77777777" w:rsidR="000F5BC1" w:rsidRDefault="000F5BC1" w:rsidP="000F5BC1">
      <w:pPr>
        <w:pStyle w:val="Prrafodelista"/>
        <w:jc w:val="both"/>
        <w:rPr>
          <w:rFonts w:cs="Arial"/>
          <w:color w:val="000000" w:themeColor="text1"/>
          <w:szCs w:val="24"/>
        </w:rPr>
      </w:pPr>
    </w:p>
    <w:p w14:paraId="355A0062" w14:textId="557AF745" w:rsidR="00412E2E" w:rsidRPr="000F5BC1" w:rsidRDefault="00B40BEE" w:rsidP="000F5BC1">
      <w:pPr>
        <w:jc w:val="both"/>
        <w:rPr>
          <w:rFonts w:cs="Arial"/>
          <w:color w:val="000000" w:themeColor="text1"/>
          <w:szCs w:val="24"/>
        </w:rPr>
      </w:pPr>
      <w:r>
        <w:rPr>
          <w:rFonts w:cs="Arial"/>
          <w:b/>
          <w:bCs/>
          <w:color w:val="000000" w:themeColor="text1"/>
          <w:szCs w:val="24"/>
        </w:rPr>
        <w:t xml:space="preserve">SEGUNDA. </w:t>
      </w:r>
      <w:r w:rsidR="00412E2E" w:rsidRPr="000F5BC1">
        <w:rPr>
          <w:rFonts w:cs="Arial"/>
          <w:color w:val="000000" w:themeColor="text1"/>
          <w:szCs w:val="24"/>
        </w:rPr>
        <w:t>Por el periodo de 120 días calendario, los cambios a las condiciones de los créditos en los términos aquí señalados y en atención a lo previsto en el Capítulo II de la CBCF no se entenderán como una práctica generalizada para la normalización de cartera.</w:t>
      </w:r>
    </w:p>
    <w:p w14:paraId="27B62520" w14:textId="77777777" w:rsidR="00412E2E" w:rsidRPr="00412E2E" w:rsidRDefault="00412E2E" w:rsidP="00412E2E">
      <w:pPr>
        <w:pStyle w:val="Prrafodelista"/>
        <w:rPr>
          <w:rFonts w:cs="Arial"/>
          <w:color w:val="000000" w:themeColor="text1"/>
          <w:szCs w:val="24"/>
        </w:rPr>
      </w:pPr>
    </w:p>
    <w:p w14:paraId="771C0547" w14:textId="72C45245" w:rsidR="002811C3" w:rsidRPr="002811C3" w:rsidRDefault="00B40BEE" w:rsidP="09682D6B">
      <w:pPr>
        <w:jc w:val="both"/>
        <w:rPr>
          <w:rFonts w:cs="Arial"/>
          <w:color w:val="000000" w:themeColor="text1"/>
        </w:rPr>
      </w:pPr>
      <w:r w:rsidRPr="00B40BEE">
        <w:rPr>
          <w:rFonts w:cs="Arial"/>
          <w:b/>
          <w:bCs/>
          <w:color w:val="000000" w:themeColor="text1"/>
        </w:rPr>
        <w:t>TERCERA.</w:t>
      </w:r>
      <w:r>
        <w:rPr>
          <w:rFonts w:cs="Arial"/>
          <w:color w:val="000000" w:themeColor="text1"/>
        </w:rPr>
        <w:t xml:space="preserve"> </w:t>
      </w:r>
      <w:r w:rsidR="09682D6B" w:rsidRPr="09682D6B">
        <w:rPr>
          <w:rFonts w:cs="Arial"/>
          <w:color w:val="000000" w:themeColor="text1"/>
        </w:rPr>
        <w:t xml:space="preserve">De manera general y por un periodo de 120 días calendario los créditos que </w:t>
      </w:r>
      <w:r w:rsidR="00135679">
        <w:rPr>
          <w:rFonts w:cs="Arial"/>
          <w:color w:val="000000" w:themeColor="text1"/>
        </w:rPr>
        <w:t xml:space="preserve">al 29 de </w:t>
      </w:r>
      <w:r w:rsidR="006046E0">
        <w:rPr>
          <w:rFonts w:cs="Arial"/>
          <w:color w:val="000000" w:themeColor="text1"/>
        </w:rPr>
        <w:t>febrero</w:t>
      </w:r>
      <w:r w:rsidR="00135679">
        <w:rPr>
          <w:rFonts w:cs="Arial"/>
          <w:color w:val="000000" w:themeColor="text1"/>
        </w:rPr>
        <w:t xml:space="preserve"> de 2020 </w:t>
      </w:r>
      <w:r w:rsidR="09682D6B" w:rsidRPr="09682D6B">
        <w:rPr>
          <w:rFonts w:cs="Arial"/>
          <w:color w:val="000000" w:themeColor="text1"/>
        </w:rPr>
        <w:t xml:space="preserve">estuvieran en condición de modificados o reestructurados y como consecuencia de la coyuntura incurran en mora, </w:t>
      </w:r>
      <w:r w:rsidR="00135679" w:rsidRPr="09682D6B">
        <w:rPr>
          <w:rFonts w:cs="Arial"/>
          <w:color w:val="000000" w:themeColor="text1"/>
        </w:rPr>
        <w:t>las entidades deberán actualizar la calificación de riesgo de estos deudores conforme a su condición financiera</w:t>
      </w:r>
      <w:r w:rsidR="00135679">
        <w:rPr>
          <w:rFonts w:cs="Arial"/>
          <w:color w:val="000000" w:themeColor="text1"/>
        </w:rPr>
        <w:t xml:space="preserve"> y </w:t>
      </w:r>
      <w:r w:rsidR="09682D6B" w:rsidRPr="09682D6B">
        <w:rPr>
          <w:rFonts w:cs="Arial"/>
          <w:color w:val="000000" w:themeColor="text1"/>
        </w:rPr>
        <w:t>no le serán aplicables las instrucciones de los numerales 1.3.2.3.2.1 y literal b) del numeral 1.3.3.1 del Capítulo II de la CBCF</w:t>
      </w:r>
      <w:r w:rsidR="00135679">
        <w:rPr>
          <w:rFonts w:cs="Arial"/>
          <w:color w:val="000000" w:themeColor="text1"/>
        </w:rPr>
        <w:t>.</w:t>
      </w:r>
    </w:p>
    <w:p w14:paraId="6F7503B4" w14:textId="77777777" w:rsidR="002811C3" w:rsidRPr="00F24964" w:rsidRDefault="002811C3" w:rsidP="002811C3">
      <w:pPr>
        <w:spacing w:before="0" w:after="0"/>
        <w:jc w:val="both"/>
        <w:rPr>
          <w:rFonts w:cs="Arial"/>
          <w:color w:val="000000" w:themeColor="text1"/>
          <w:szCs w:val="24"/>
        </w:rPr>
      </w:pPr>
    </w:p>
    <w:p w14:paraId="0D070AC9" w14:textId="1E0F85A3" w:rsidR="00466D44" w:rsidRPr="001547A1" w:rsidRDefault="00B40BEE" w:rsidP="001547A1">
      <w:pPr>
        <w:jc w:val="both"/>
        <w:rPr>
          <w:rFonts w:cs="Arial"/>
          <w:szCs w:val="24"/>
          <w:lang w:val="es-MX"/>
        </w:rPr>
      </w:pPr>
      <w:r>
        <w:rPr>
          <w:rFonts w:cs="Arial"/>
          <w:b/>
          <w:bCs/>
          <w:szCs w:val="24"/>
          <w:lang w:val="es-MX"/>
        </w:rPr>
        <w:t>CUARTA</w:t>
      </w:r>
      <w:r w:rsidR="001547A1">
        <w:rPr>
          <w:rFonts w:cs="Arial"/>
          <w:b/>
          <w:bCs/>
          <w:szCs w:val="24"/>
          <w:lang w:val="es-MX"/>
        </w:rPr>
        <w:t xml:space="preserve">. </w:t>
      </w:r>
      <w:r w:rsidR="00466D44" w:rsidRPr="001547A1">
        <w:rPr>
          <w:rFonts w:cs="Arial"/>
          <w:szCs w:val="24"/>
          <w:lang w:val="es-MX"/>
        </w:rPr>
        <w:t>Los establecimientos de crédito que establezcan las políticas</w:t>
      </w:r>
      <w:r w:rsidR="009D62DA">
        <w:rPr>
          <w:rFonts w:cs="Arial"/>
          <w:szCs w:val="24"/>
          <w:lang w:val="es-MX"/>
        </w:rPr>
        <w:t xml:space="preserve">, </w:t>
      </w:r>
      <w:r w:rsidR="00AC5950">
        <w:rPr>
          <w:rFonts w:cs="Arial"/>
          <w:szCs w:val="24"/>
          <w:lang w:val="es-MX"/>
        </w:rPr>
        <w:t xml:space="preserve">y </w:t>
      </w:r>
      <w:r w:rsidR="009D62DA">
        <w:rPr>
          <w:rFonts w:cs="Arial"/>
          <w:szCs w:val="24"/>
          <w:lang w:val="es-MX"/>
        </w:rPr>
        <w:t>procedimientos</w:t>
      </w:r>
      <w:r w:rsidR="00466D44" w:rsidRPr="001547A1">
        <w:rPr>
          <w:rFonts w:cs="Arial"/>
          <w:szCs w:val="24"/>
          <w:lang w:val="es-MX"/>
        </w:rPr>
        <w:t xml:space="preserve"> definid</w:t>
      </w:r>
      <w:r w:rsidR="00AC5950">
        <w:rPr>
          <w:rFonts w:cs="Arial"/>
          <w:szCs w:val="24"/>
          <w:lang w:val="es-MX"/>
        </w:rPr>
        <w:t>o</w:t>
      </w:r>
      <w:r w:rsidR="00466D44" w:rsidRPr="001547A1">
        <w:rPr>
          <w:rFonts w:cs="Arial"/>
          <w:szCs w:val="24"/>
          <w:lang w:val="es-MX"/>
        </w:rPr>
        <w:t xml:space="preserve">s </w:t>
      </w:r>
      <w:r>
        <w:rPr>
          <w:rFonts w:cs="Arial"/>
          <w:szCs w:val="24"/>
          <w:lang w:val="es-MX"/>
        </w:rPr>
        <w:t>la instrucción primera</w:t>
      </w:r>
      <w:r w:rsidR="00466D44" w:rsidRPr="001547A1">
        <w:rPr>
          <w:rFonts w:cs="Arial"/>
          <w:szCs w:val="24"/>
          <w:lang w:val="es-MX"/>
        </w:rPr>
        <w:t>, podrán adoptar las siguientes medidas:</w:t>
      </w:r>
    </w:p>
    <w:p w14:paraId="62358235" w14:textId="77777777" w:rsidR="00466D44" w:rsidRPr="00EE3F18" w:rsidRDefault="00466D44" w:rsidP="005B41C0">
      <w:pPr>
        <w:pStyle w:val="Ttulo2"/>
        <w:numPr>
          <w:ilvl w:val="0"/>
          <w:numId w:val="6"/>
        </w:numPr>
        <w:spacing w:before="0" w:after="0"/>
        <w:rPr>
          <w:rFonts w:cs="Arial"/>
          <w:szCs w:val="24"/>
          <w:lang w:val="es-MX"/>
        </w:rPr>
      </w:pPr>
      <w:r w:rsidRPr="00EE3F18">
        <w:rPr>
          <w:rFonts w:cs="Arial"/>
          <w:szCs w:val="24"/>
          <w:lang w:val="es-MX"/>
        </w:rPr>
        <w:t>Para la cartera comercial y de consumo:</w:t>
      </w:r>
    </w:p>
    <w:p w14:paraId="39D10625" w14:textId="77777777" w:rsidR="00716762" w:rsidRDefault="00716762" w:rsidP="00716762">
      <w:pPr>
        <w:pStyle w:val="Ttulo3"/>
        <w:numPr>
          <w:ilvl w:val="0"/>
          <w:numId w:val="0"/>
        </w:numPr>
        <w:spacing w:before="0" w:after="0"/>
        <w:ind w:firstLine="708"/>
        <w:rPr>
          <w:lang w:val="es-MX"/>
        </w:rPr>
      </w:pPr>
    </w:p>
    <w:p w14:paraId="22E57995" w14:textId="54867596" w:rsidR="004A7ABF" w:rsidRDefault="00466D44" w:rsidP="005B41C0">
      <w:pPr>
        <w:pStyle w:val="Ttulo3"/>
        <w:numPr>
          <w:ilvl w:val="0"/>
          <w:numId w:val="7"/>
        </w:numPr>
        <w:spacing w:before="0" w:after="0"/>
        <w:rPr>
          <w:lang w:val="es-MX"/>
        </w:rPr>
      </w:pPr>
      <w:r w:rsidRPr="00716762">
        <w:rPr>
          <w:lang w:val="es-MX"/>
        </w:rPr>
        <w:t xml:space="preserve">Podrán entrar en fase </w:t>
      </w:r>
      <w:proofErr w:type="spellStart"/>
      <w:r w:rsidRPr="00716762">
        <w:rPr>
          <w:lang w:val="es-MX"/>
        </w:rPr>
        <w:t>desacumulativa</w:t>
      </w:r>
      <w:proofErr w:type="spellEnd"/>
      <w:r w:rsidRPr="00716762">
        <w:rPr>
          <w:lang w:val="es-MX"/>
        </w:rPr>
        <w:t xml:space="preserve"> del componente individual contracíclico. El saldo de la provisión contrac</w:t>
      </w:r>
      <w:r w:rsidR="00342E05" w:rsidRPr="00716762">
        <w:rPr>
          <w:lang w:val="es-MX"/>
        </w:rPr>
        <w:t>í</w:t>
      </w:r>
      <w:r w:rsidRPr="00716762">
        <w:rPr>
          <w:lang w:val="es-MX"/>
        </w:rPr>
        <w:t xml:space="preserve">clica podrá sufragar el </w:t>
      </w:r>
      <w:r w:rsidR="009D62DA">
        <w:rPr>
          <w:lang w:val="es-MX"/>
        </w:rPr>
        <w:t xml:space="preserve">100% del </w:t>
      </w:r>
      <w:r w:rsidRPr="00716762">
        <w:rPr>
          <w:lang w:val="es-MX"/>
        </w:rPr>
        <w:t xml:space="preserve">gasto en provisiones neto de recuperaciones </w:t>
      </w:r>
      <w:r w:rsidR="009C3869">
        <w:rPr>
          <w:lang w:val="es-MX"/>
        </w:rPr>
        <w:t xml:space="preserve">que se genere </w:t>
      </w:r>
      <w:r w:rsidRPr="00716762">
        <w:rPr>
          <w:lang w:val="es-MX"/>
        </w:rPr>
        <w:t>durante el periodo de 120 días calendario</w:t>
      </w:r>
      <w:r w:rsidR="00716762">
        <w:rPr>
          <w:lang w:val="es-MX"/>
        </w:rPr>
        <w:t>.</w:t>
      </w:r>
    </w:p>
    <w:p w14:paraId="58760F30" w14:textId="658D894B" w:rsidR="00716762" w:rsidRPr="00716762" w:rsidRDefault="00716762" w:rsidP="005B41C0">
      <w:pPr>
        <w:pStyle w:val="Ttulo3"/>
        <w:numPr>
          <w:ilvl w:val="0"/>
          <w:numId w:val="7"/>
        </w:numPr>
        <w:spacing w:before="0" w:after="0"/>
        <w:rPr>
          <w:lang w:val="es-MX"/>
        </w:rPr>
      </w:pPr>
      <w:r>
        <w:rPr>
          <w:lang w:val="es-MX"/>
        </w:rPr>
        <w:t xml:space="preserve">El </w:t>
      </w:r>
      <w:r w:rsidR="00DF51B9">
        <w:rPr>
          <w:lang w:val="es-MX"/>
        </w:rPr>
        <w:t xml:space="preserve">componente individual procíclico se calculará con base en la </w:t>
      </w:r>
      <w:r>
        <w:rPr>
          <w:lang w:val="es-MX"/>
        </w:rPr>
        <w:t>matriz A.</w:t>
      </w:r>
    </w:p>
    <w:p w14:paraId="7EB2D84B" w14:textId="1A0A446B" w:rsidR="009C3869" w:rsidRDefault="09682D6B" w:rsidP="09682D6B">
      <w:pPr>
        <w:pStyle w:val="Ttulo3"/>
        <w:numPr>
          <w:ilvl w:val="0"/>
          <w:numId w:val="7"/>
        </w:numPr>
        <w:spacing w:before="0" w:after="0"/>
        <w:rPr>
          <w:rStyle w:val="normaltextrun1"/>
          <w:rFonts w:cs="Arial"/>
          <w:lang w:val="es-ES"/>
        </w:rPr>
      </w:pPr>
      <w:r w:rsidRPr="09682D6B">
        <w:rPr>
          <w:rStyle w:val="normaltextrun1"/>
          <w:rFonts w:cs="Arial"/>
          <w:lang w:val="es-ES"/>
        </w:rPr>
        <w:t>No constit</w:t>
      </w:r>
      <w:r w:rsidRPr="09682D6B">
        <w:rPr>
          <w:rStyle w:val="normaltextrun1"/>
          <w:lang w:val="es-ES"/>
        </w:rPr>
        <w:t xml:space="preserve">uirán </w:t>
      </w:r>
      <w:r w:rsidRPr="09682D6B">
        <w:rPr>
          <w:rStyle w:val="normaltextrun1"/>
          <w:rFonts w:cs="Arial"/>
          <w:lang w:val="es-ES"/>
        </w:rPr>
        <w:t xml:space="preserve">el componente individual contracíclico sobre la cartera que se origine a partir de la fecha de la </w:t>
      </w:r>
      <w:r w:rsidRPr="09682D6B">
        <w:rPr>
          <w:lang w:val="es-MX"/>
        </w:rPr>
        <w:t>publicación</w:t>
      </w:r>
      <w:r w:rsidRPr="09682D6B">
        <w:rPr>
          <w:rStyle w:val="normaltextrun1"/>
          <w:rFonts w:cs="Arial"/>
          <w:lang w:val="es-ES"/>
        </w:rPr>
        <w:t xml:space="preserve"> de esta instrucción.</w:t>
      </w:r>
    </w:p>
    <w:p w14:paraId="7D5399DE" w14:textId="77777777" w:rsidR="007D1BC2" w:rsidRDefault="007D1BC2" w:rsidP="007D1BC2">
      <w:pPr>
        <w:pStyle w:val="Ttulo3"/>
        <w:numPr>
          <w:ilvl w:val="0"/>
          <w:numId w:val="0"/>
        </w:numPr>
        <w:spacing w:before="0" w:after="0"/>
        <w:ind w:left="720"/>
        <w:rPr>
          <w:lang w:val="es-ES"/>
        </w:rPr>
      </w:pPr>
    </w:p>
    <w:p w14:paraId="5B393CF8" w14:textId="6D3A66C7" w:rsidR="009C3869" w:rsidRPr="009C3869" w:rsidRDefault="007D1BC2" w:rsidP="007D1BC2">
      <w:pPr>
        <w:pStyle w:val="Ttulo3"/>
        <w:numPr>
          <w:ilvl w:val="0"/>
          <w:numId w:val="0"/>
        </w:numPr>
        <w:spacing w:before="0" w:after="0"/>
        <w:ind w:left="720"/>
        <w:rPr>
          <w:rFonts w:cs="Arial"/>
          <w:lang w:val="es-ES"/>
        </w:rPr>
      </w:pPr>
      <w:r>
        <w:rPr>
          <w:lang w:val="es-ES"/>
        </w:rPr>
        <w:t xml:space="preserve">Una vez finalicen los 120 días, la </w:t>
      </w:r>
      <w:r w:rsidR="09682D6B" w:rsidRPr="09682D6B">
        <w:rPr>
          <w:lang w:val="es-ES"/>
        </w:rPr>
        <w:t xml:space="preserve">Superintendencia establecerá </w:t>
      </w:r>
      <w:r>
        <w:rPr>
          <w:lang w:val="es-ES"/>
        </w:rPr>
        <w:t xml:space="preserve">el </w:t>
      </w:r>
      <w:r w:rsidR="09682D6B" w:rsidRPr="09682D6B">
        <w:rPr>
          <w:lang w:val="es-ES"/>
        </w:rPr>
        <w:t>mecanismo de reconstitución gradual que permita reestablecer dicho componente.</w:t>
      </w:r>
    </w:p>
    <w:p w14:paraId="38D1E675" w14:textId="77777777" w:rsidR="00716762" w:rsidRPr="00716762" w:rsidRDefault="00716762" w:rsidP="00716762">
      <w:pPr>
        <w:pStyle w:val="Ttulo3"/>
        <w:numPr>
          <w:ilvl w:val="0"/>
          <w:numId w:val="0"/>
        </w:numPr>
        <w:spacing w:before="0" w:after="0"/>
        <w:ind w:firstLine="708"/>
        <w:rPr>
          <w:lang w:val="es-ES"/>
        </w:rPr>
      </w:pPr>
    </w:p>
    <w:p w14:paraId="6782F4E9" w14:textId="77777777" w:rsidR="00466D44" w:rsidRPr="00EE3F18" w:rsidRDefault="00466D44" w:rsidP="005B41C0">
      <w:pPr>
        <w:pStyle w:val="Ttulo2"/>
        <w:numPr>
          <w:ilvl w:val="0"/>
          <w:numId w:val="6"/>
        </w:numPr>
        <w:spacing w:before="0" w:after="0"/>
        <w:rPr>
          <w:rFonts w:cs="Arial"/>
          <w:bCs/>
          <w:szCs w:val="24"/>
          <w:lang w:val="es-ES"/>
        </w:rPr>
      </w:pPr>
      <w:r w:rsidRPr="00EE3F18">
        <w:rPr>
          <w:rFonts w:cs="Arial"/>
          <w:szCs w:val="24"/>
          <w:lang w:val="es-ES"/>
        </w:rPr>
        <w:t xml:space="preserve">Para la </w:t>
      </w:r>
      <w:r w:rsidRPr="00EE3F18">
        <w:rPr>
          <w:rStyle w:val="normaltextrun1"/>
          <w:rFonts w:cs="Arial"/>
          <w:bCs/>
          <w:szCs w:val="24"/>
        </w:rPr>
        <w:t>cartera</w:t>
      </w:r>
      <w:r w:rsidRPr="00EE3F18">
        <w:rPr>
          <w:rFonts w:cs="Arial"/>
          <w:szCs w:val="24"/>
          <w:lang w:val="es-ES"/>
        </w:rPr>
        <w:t xml:space="preserve"> de vivienda y de microcrédito:</w:t>
      </w:r>
    </w:p>
    <w:p w14:paraId="25FA89C1" w14:textId="77777777" w:rsidR="00716762" w:rsidRDefault="00716762" w:rsidP="00716762">
      <w:pPr>
        <w:pStyle w:val="Ttulo3"/>
        <w:numPr>
          <w:ilvl w:val="0"/>
          <w:numId w:val="0"/>
        </w:numPr>
        <w:spacing w:before="0" w:after="0"/>
        <w:ind w:firstLine="708"/>
        <w:rPr>
          <w:lang w:val="es-ES"/>
        </w:rPr>
      </w:pPr>
    </w:p>
    <w:p w14:paraId="1783754D" w14:textId="77777777" w:rsidR="00716762" w:rsidRDefault="00466D44" w:rsidP="005B41C0">
      <w:pPr>
        <w:pStyle w:val="Ttulo3"/>
        <w:numPr>
          <w:ilvl w:val="0"/>
          <w:numId w:val="3"/>
        </w:numPr>
        <w:spacing w:before="0" w:after="0"/>
        <w:ind w:left="993" w:hanging="284"/>
        <w:rPr>
          <w:rStyle w:val="normaltextrun1"/>
          <w:rFonts w:cs="Arial"/>
          <w:bCs/>
          <w:lang w:val="es-ES"/>
        </w:rPr>
      </w:pPr>
      <w:r>
        <w:rPr>
          <w:lang w:val="es-ES"/>
        </w:rPr>
        <w:t>U</w:t>
      </w:r>
      <w:r w:rsidRPr="00EE3F18">
        <w:rPr>
          <w:lang w:val="es-ES"/>
        </w:rPr>
        <w:t xml:space="preserve">sar </w:t>
      </w:r>
      <w:r w:rsidRPr="00EE3F18">
        <w:rPr>
          <w:rStyle w:val="normaltextrun1"/>
          <w:rFonts w:cs="Arial"/>
          <w:bCs/>
        </w:rPr>
        <w:t>el</w:t>
      </w:r>
      <w:r w:rsidRPr="00EE3F18">
        <w:rPr>
          <w:lang w:val="es-ES"/>
        </w:rPr>
        <w:t xml:space="preserve"> saldo de la provisión general </w:t>
      </w:r>
      <w:r w:rsidRPr="00EE3F18">
        <w:rPr>
          <w:lang w:val="es-MX"/>
        </w:rPr>
        <w:t>para sufragar el gasto en provisiones neto de recuperaciones durante el periodo de 120 días calendario</w:t>
      </w:r>
      <w:r w:rsidRPr="00EE3F18">
        <w:rPr>
          <w:rStyle w:val="normaltextrun1"/>
          <w:rFonts w:cs="Arial"/>
          <w:bCs/>
          <w:lang w:val="es-ES"/>
        </w:rPr>
        <w:t>.</w:t>
      </w:r>
    </w:p>
    <w:p w14:paraId="284B22E9" w14:textId="1032FFB4" w:rsidR="09682D6B" w:rsidRDefault="09682D6B" w:rsidP="09682D6B">
      <w:pPr>
        <w:pStyle w:val="Ttulo3"/>
        <w:numPr>
          <w:ilvl w:val="0"/>
          <w:numId w:val="3"/>
        </w:numPr>
        <w:spacing w:before="0" w:after="0"/>
        <w:ind w:left="993" w:hanging="284"/>
        <w:rPr>
          <w:rFonts w:cs="Arial"/>
          <w:lang w:val="es-MX"/>
        </w:rPr>
      </w:pPr>
      <w:r w:rsidRPr="09682D6B">
        <w:rPr>
          <w:lang w:val="es-ES"/>
        </w:rPr>
        <w:t xml:space="preserve">No constituir provisión general sobre la cartera, </w:t>
      </w:r>
      <w:r w:rsidRPr="09682D6B">
        <w:rPr>
          <w:rStyle w:val="normaltextrun1"/>
          <w:rFonts w:cs="Arial"/>
          <w:lang w:val="es-ES"/>
        </w:rPr>
        <w:t xml:space="preserve">a partir de la fecha de la </w:t>
      </w:r>
      <w:r w:rsidRPr="09682D6B">
        <w:rPr>
          <w:lang w:val="es-MX"/>
        </w:rPr>
        <w:t>publicación</w:t>
      </w:r>
      <w:r w:rsidRPr="09682D6B">
        <w:rPr>
          <w:rStyle w:val="normaltextrun1"/>
          <w:rFonts w:cs="Arial"/>
          <w:lang w:val="es-ES"/>
        </w:rPr>
        <w:t xml:space="preserve"> de esta instrucción y</w:t>
      </w:r>
      <w:r w:rsidRPr="09682D6B">
        <w:rPr>
          <w:lang w:val="es-ES"/>
        </w:rPr>
        <w:t xml:space="preserve"> durante los siguientes</w:t>
      </w:r>
      <w:r w:rsidRPr="09682D6B">
        <w:rPr>
          <w:lang w:val="es-MX"/>
        </w:rPr>
        <w:t xml:space="preserve"> 120 días calendario.</w:t>
      </w:r>
    </w:p>
    <w:p w14:paraId="3D094727" w14:textId="118E974A" w:rsidR="00E8398C" w:rsidRPr="009C3869" w:rsidRDefault="00E8398C" w:rsidP="00E8398C">
      <w:pPr>
        <w:pStyle w:val="Ttulo3"/>
        <w:numPr>
          <w:ilvl w:val="0"/>
          <w:numId w:val="0"/>
        </w:numPr>
        <w:spacing w:before="0" w:after="0"/>
        <w:ind w:left="720"/>
        <w:rPr>
          <w:rFonts w:cs="Arial"/>
          <w:lang w:val="es-ES"/>
        </w:rPr>
      </w:pPr>
      <w:r>
        <w:rPr>
          <w:lang w:val="es-ES"/>
        </w:rPr>
        <w:lastRenderedPageBreak/>
        <w:t xml:space="preserve">Una vez finalicen los 120 días, la </w:t>
      </w:r>
      <w:r w:rsidRPr="09682D6B">
        <w:rPr>
          <w:lang w:val="es-ES"/>
        </w:rPr>
        <w:t xml:space="preserve">Superintendencia establecerá </w:t>
      </w:r>
      <w:r>
        <w:rPr>
          <w:lang w:val="es-ES"/>
        </w:rPr>
        <w:t xml:space="preserve">el </w:t>
      </w:r>
      <w:r w:rsidRPr="09682D6B">
        <w:rPr>
          <w:lang w:val="es-ES"/>
        </w:rPr>
        <w:t xml:space="preserve">mecanismo de reconstitución gradual que permita reestablecer </w:t>
      </w:r>
      <w:r>
        <w:rPr>
          <w:lang w:val="es-ES"/>
        </w:rPr>
        <w:t>provisión general</w:t>
      </w:r>
      <w:r w:rsidRPr="09682D6B">
        <w:rPr>
          <w:lang w:val="es-ES"/>
        </w:rPr>
        <w:t>.</w:t>
      </w:r>
    </w:p>
    <w:p w14:paraId="5C41400D" w14:textId="77777777" w:rsidR="00524272" w:rsidRDefault="00524272" w:rsidP="004D3D4A">
      <w:pPr>
        <w:pStyle w:val="Ttulo3"/>
        <w:numPr>
          <w:ilvl w:val="0"/>
          <w:numId w:val="0"/>
        </w:numPr>
        <w:spacing w:before="0" w:after="0"/>
        <w:rPr>
          <w:lang w:val="es-MX"/>
        </w:rPr>
      </w:pPr>
    </w:p>
    <w:p w14:paraId="4E4307C4" w14:textId="6F5FB6D5" w:rsidR="00716762" w:rsidRPr="00716762" w:rsidRDefault="00716762" w:rsidP="005B41C0">
      <w:pPr>
        <w:pStyle w:val="Ttulo2"/>
        <w:numPr>
          <w:ilvl w:val="0"/>
          <w:numId w:val="6"/>
        </w:numPr>
        <w:spacing w:before="0" w:after="0"/>
        <w:rPr>
          <w:rFonts w:cs="Arial"/>
          <w:szCs w:val="24"/>
        </w:rPr>
      </w:pPr>
      <w:r>
        <w:rPr>
          <w:rFonts w:cs="Arial"/>
          <w:szCs w:val="24"/>
        </w:rPr>
        <w:t xml:space="preserve">Si durante el plazo de los 120 días calendario se activan los requisitos de constitución de la </w:t>
      </w:r>
      <w:r w:rsidRPr="00716762">
        <w:rPr>
          <w:rFonts w:cs="Arial"/>
          <w:szCs w:val="24"/>
        </w:rPr>
        <w:t xml:space="preserve">provisión individual adicional </w:t>
      </w:r>
      <w:r>
        <w:rPr>
          <w:rFonts w:cs="Arial"/>
          <w:szCs w:val="24"/>
        </w:rPr>
        <w:t xml:space="preserve">derivada de las instrucciones de la Circular Externa 026 de 2012, dicha provisión </w:t>
      </w:r>
      <w:r w:rsidR="009C3869">
        <w:rPr>
          <w:rFonts w:cs="Arial"/>
          <w:szCs w:val="24"/>
        </w:rPr>
        <w:t>no deberá constituirse</w:t>
      </w:r>
      <w:r w:rsidRPr="00716762">
        <w:rPr>
          <w:rFonts w:cs="Arial"/>
          <w:szCs w:val="24"/>
        </w:rPr>
        <w:t>.</w:t>
      </w:r>
    </w:p>
    <w:p w14:paraId="7C8DCA42" w14:textId="77777777" w:rsidR="004D3D4A" w:rsidRDefault="004D3D4A" w:rsidP="004D3D4A">
      <w:pPr>
        <w:pStyle w:val="Ttulo3"/>
        <w:numPr>
          <w:ilvl w:val="0"/>
          <w:numId w:val="0"/>
        </w:numPr>
        <w:spacing w:before="0" w:after="0"/>
        <w:rPr>
          <w:lang w:val="es-ES"/>
        </w:rPr>
      </w:pPr>
    </w:p>
    <w:p w14:paraId="30EC8884" w14:textId="4487EC00" w:rsidR="00716762" w:rsidRPr="009C3869" w:rsidRDefault="009C3869" w:rsidP="009C3869">
      <w:pPr>
        <w:jc w:val="both"/>
        <w:rPr>
          <w:lang w:val="es-MX"/>
        </w:rPr>
      </w:pPr>
      <w:r>
        <w:rPr>
          <w:b/>
          <w:bCs/>
          <w:lang w:val="es-MX"/>
        </w:rPr>
        <w:t xml:space="preserve">TERCERA. </w:t>
      </w:r>
      <w:r w:rsidR="00716762" w:rsidRPr="009C3869">
        <w:rPr>
          <w:lang w:val="es-MX"/>
        </w:rPr>
        <w:t xml:space="preserve">Las entidades deberán </w:t>
      </w:r>
      <w:r w:rsidR="00F50C39">
        <w:rPr>
          <w:lang w:val="es-MX"/>
        </w:rPr>
        <w:t xml:space="preserve">tener a disposición de la Superintendencia, </w:t>
      </w:r>
      <w:r w:rsidR="00716762" w:rsidRPr="009C3869">
        <w:rPr>
          <w:lang w:val="es-MX"/>
        </w:rPr>
        <w:t xml:space="preserve">las políticas </w:t>
      </w:r>
      <w:r w:rsidR="0048672F" w:rsidRPr="009C3869">
        <w:rPr>
          <w:lang w:val="es-MX"/>
        </w:rPr>
        <w:t>adoptada</w:t>
      </w:r>
      <w:r w:rsidR="00716762" w:rsidRPr="009C3869">
        <w:rPr>
          <w:lang w:val="es-MX"/>
        </w:rPr>
        <w:t>s</w:t>
      </w:r>
      <w:r w:rsidR="004D3D4A" w:rsidRPr="009C3869">
        <w:rPr>
          <w:lang w:val="es-MX"/>
        </w:rPr>
        <w:t>,</w:t>
      </w:r>
      <w:r w:rsidR="00716762" w:rsidRPr="009C3869">
        <w:rPr>
          <w:lang w:val="es-MX"/>
        </w:rPr>
        <w:t xml:space="preserve"> así como el detalle de los deudores beneficiados con las medidas que se generen a partir de la expedición de la presente Circular Externa.</w:t>
      </w:r>
    </w:p>
    <w:p w14:paraId="3F57A9C8" w14:textId="77777777" w:rsidR="00082EC6" w:rsidRDefault="00082EC6" w:rsidP="004A7ABF">
      <w:pPr>
        <w:spacing w:before="0" w:after="0"/>
        <w:jc w:val="both"/>
        <w:rPr>
          <w:rFonts w:cs="Arial"/>
          <w:b/>
          <w:bCs/>
          <w:szCs w:val="24"/>
          <w:lang w:val="es-ES"/>
        </w:rPr>
      </w:pPr>
    </w:p>
    <w:p w14:paraId="05622ED7" w14:textId="75350152" w:rsidR="007B6CF7" w:rsidRPr="00EE3F18" w:rsidRDefault="00082EC6" w:rsidP="004A7ABF">
      <w:pPr>
        <w:spacing w:before="0" w:after="0"/>
        <w:jc w:val="both"/>
        <w:rPr>
          <w:rFonts w:eastAsiaTheme="majorEastAsia" w:cs="Arial"/>
          <w:szCs w:val="24"/>
          <w:lang w:val="es-MX"/>
        </w:rPr>
      </w:pPr>
      <w:r>
        <w:rPr>
          <w:rFonts w:cs="Arial"/>
          <w:b/>
          <w:bCs/>
          <w:szCs w:val="24"/>
          <w:lang w:val="es-ES"/>
        </w:rPr>
        <w:t>CUARTA</w:t>
      </w:r>
      <w:r w:rsidR="00466D44">
        <w:rPr>
          <w:rFonts w:cs="Arial"/>
          <w:b/>
          <w:bCs/>
          <w:szCs w:val="24"/>
          <w:lang w:val="es-ES"/>
        </w:rPr>
        <w:t>:</w:t>
      </w:r>
      <w:r w:rsidR="00017EEB" w:rsidRPr="00EE3F18">
        <w:rPr>
          <w:rFonts w:cs="Arial"/>
          <w:b/>
          <w:bCs/>
          <w:szCs w:val="24"/>
          <w:lang w:val="es-ES"/>
        </w:rPr>
        <w:t xml:space="preserve"> </w:t>
      </w:r>
      <w:r w:rsidR="007B6CF7" w:rsidRPr="00EE3F18">
        <w:rPr>
          <w:rFonts w:eastAsiaTheme="majorEastAsia" w:cs="Arial"/>
          <w:szCs w:val="24"/>
          <w:lang w:val="es-MX"/>
        </w:rPr>
        <w:t xml:space="preserve">Las entidades vigiladas deberán dar a conocer las políticas adoptadas en cumplimiento de la presente circular y poner a disposición de </w:t>
      </w:r>
      <w:r w:rsidR="006F42F1">
        <w:rPr>
          <w:rFonts w:eastAsiaTheme="majorEastAsia" w:cs="Arial"/>
          <w:szCs w:val="24"/>
          <w:lang w:val="es-MX"/>
        </w:rPr>
        <w:t xml:space="preserve">sus clientes </w:t>
      </w:r>
      <w:r w:rsidR="007B6CF7" w:rsidRPr="00EE3F18">
        <w:rPr>
          <w:rFonts w:eastAsiaTheme="majorEastAsia" w:cs="Arial"/>
          <w:szCs w:val="24"/>
          <w:lang w:val="es-MX"/>
        </w:rPr>
        <w:t xml:space="preserve">mecanismos </w:t>
      </w:r>
      <w:r w:rsidR="006F42F1">
        <w:rPr>
          <w:rFonts w:eastAsiaTheme="majorEastAsia" w:cs="Arial"/>
          <w:szCs w:val="24"/>
          <w:lang w:val="es-MX"/>
        </w:rPr>
        <w:t xml:space="preserve">de atención prioritaria </w:t>
      </w:r>
      <w:r w:rsidR="007B6CF7" w:rsidRPr="00EE3F18">
        <w:rPr>
          <w:rFonts w:eastAsiaTheme="majorEastAsia" w:cs="Arial"/>
          <w:szCs w:val="24"/>
          <w:lang w:val="es-MX"/>
        </w:rPr>
        <w:t xml:space="preserve">para tramitar y resolver de manera </w:t>
      </w:r>
      <w:r w:rsidR="006F42F1">
        <w:rPr>
          <w:rFonts w:eastAsiaTheme="majorEastAsia" w:cs="Arial"/>
          <w:szCs w:val="24"/>
          <w:lang w:val="es-MX"/>
        </w:rPr>
        <w:t xml:space="preserve">ágil, </w:t>
      </w:r>
      <w:r w:rsidR="007B6CF7" w:rsidRPr="00EE3F18">
        <w:rPr>
          <w:rFonts w:eastAsiaTheme="majorEastAsia" w:cs="Arial"/>
          <w:szCs w:val="24"/>
          <w:lang w:val="es-MX"/>
        </w:rPr>
        <w:t>clara y oportuna las inquietudes</w:t>
      </w:r>
      <w:r w:rsidR="006F42F1">
        <w:rPr>
          <w:rFonts w:eastAsiaTheme="majorEastAsia" w:cs="Arial"/>
          <w:szCs w:val="24"/>
          <w:lang w:val="es-MX"/>
        </w:rPr>
        <w:t xml:space="preserve">, solicitudes </w:t>
      </w:r>
      <w:r w:rsidR="007B6CF7" w:rsidRPr="00EE3F18">
        <w:rPr>
          <w:rFonts w:eastAsiaTheme="majorEastAsia" w:cs="Arial"/>
          <w:szCs w:val="24"/>
          <w:lang w:val="es-MX"/>
        </w:rPr>
        <w:t>y quejas en relación con las medidas aquí previstas.</w:t>
      </w:r>
    </w:p>
    <w:p w14:paraId="22AB9465" w14:textId="77777777" w:rsidR="00617C55" w:rsidRDefault="00617C55" w:rsidP="001C1DC5">
      <w:pPr>
        <w:jc w:val="both"/>
        <w:rPr>
          <w:rFonts w:cs="Arial"/>
          <w:b/>
          <w:szCs w:val="24"/>
          <w:lang w:val="es-ES"/>
        </w:rPr>
      </w:pPr>
    </w:p>
    <w:p w14:paraId="2B68B990" w14:textId="77777777" w:rsidR="00A65541" w:rsidRDefault="00A42AD1" w:rsidP="001C1DC5">
      <w:pPr>
        <w:jc w:val="both"/>
        <w:rPr>
          <w:rFonts w:cs="Arial"/>
          <w:bCs/>
          <w:szCs w:val="24"/>
          <w:lang w:val="es-ES"/>
        </w:rPr>
      </w:pPr>
      <w:r>
        <w:rPr>
          <w:rFonts w:cs="Arial"/>
          <w:b/>
          <w:szCs w:val="24"/>
          <w:lang w:val="es-ES"/>
        </w:rPr>
        <w:t>C</w:t>
      </w:r>
      <w:r w:rsidR="00466D44">
        <w:rPr>
          <w:rFonts w:cs="Arial"/>
          <w:b/>
          <w:szCs w:val="24"/>
          <w:lang w:val="es-ES"/>
        </w:rPr>
        <w:t>UART</w:t>
      </w:r>
      <w:r>
        <w:rPr>
          <w:rFonts w:cs="Arial"/>
          <w:b/>
          <w:szCs w:val="24"/>
          <w:lang w:val="es-ES"/>
        </w:rPr>
        <w:t>A</w:t>
      </w:r>
      <w:r w:rsidR="00466D44">
        <w:rPr>
          <w:rFonts w:cs="Arial"/>
          <w:b/>
          <w:szCs w:val="24"/>
          <w:lang w:val="es-ES"/>
        </w:rPr>
        <w:t xml:space="preserve">: </w:t>
      </w:r>
      <w:r w:rsidR="00F83A3A" w:rsidRPr="00EE3F18">
        <w:rPr>
          <w:rFonts w:cs="Arial"/>
          <w:bCs/>
          <w:szCs w:val="24"/>
          <w:lang w:val="es-ES"/>
        </w:rPr>
        <w:t>La presente circular rige a partir de su publicación.</w:t>
      </w:r>
    </w:p>
    <w:p w14:paraId="6BA39F1A" w14:textId="77777777" w:rsidR="00524272" w:rsidRDefault="00524272" w:rsidP="001C1DC5">
      <w:pPr>
        <w:jc w:val="both"/>
        <w:rPr>
          <w:rFonts w:cs="Arial"/>
          <w:bCs/>
          <w:szCs w:val="24"/>
          <w:lang w:val="es-ES"/>
        </w:rPr>
      </w:pPr>
    </w:p>
    <w:p w14:paraId="7F1BA7D2" w14:textId="77777777" w:rsidR="00A65541" w:rsidRDefault="00A65541" w:rsidP="001C1DC5">
      <w:pPr>
        <w:jc w:val="both"/>
        <w:rPr>
          <w:rFonts w:cs="Arial"/>
          <w:bCs/>
          <w:szCs w:val="24"/>
          <w:lang w:val="es-ES"/>
        </w:rPr>
      </w:pPr>
    </w:p>
    <w:p w14:paraId="63021B66" w14:textId="77777777" w:rsidR="00617C55" w:rsidRPr="00EE3F18" w:rsidRDefault="00617C55" w:rsidP="001C1DC5">
      <w:pPr>
        <w:jc w:val="both"/>
        <w:rPr>
          <w:rFonts w:cs="Arial"/>
          <w:bCs/>
          <w:szCs w:val="24"/>
          <w:lang w:val="es-ES"/>
        </w:rPr>
      </w:pPr>
    </w:p>
    <w:p w14:paraId="2BF11502" w14:textId="77777777" w:rsidR="00765EAA" w:rsidRPr="00DD2295" w:rsidRDefault="00765EAA" w:rsidP="00765EAA">
      <w:pPr>
        <w:widowControl w:val="0"/>
        <w:tabs>
          <w:tab w:val="left" w:pos="284"/>
          <w:tab w:val="left" w:pos="450"/>
          <w:tab w:val="left" w:pos="1665"/>
        </w:tabs>
        <w:adjustRightInd w:val="0"/>
        <w:spacing w:before="0" w:after="0"/>
        <w:jc w:val="both"/>
        <w:rPr>
          <w:rFonts w:cs="Arial"/>
          <w:b/>
          <w:szCs w:val="24"/>
        </w:rPr>
      </w:pPr>
      <w:r w:rsidRPr="00DD2295">
        <w:rPr>
          <w:rFonts w:cs="Arial"/>
          <w:b/>
          <w:szCs w:val="24"/>
        </w:rPr>
        <w:t>JORGE CASTAÑO GUTIERREZ</w:t>
      </w:r>
    </w:p>
    <w:p w14:paraId="5ABFBDE6" w14:textId="77777777" w:rsidR="00765EAA" w:rsidRDefault="00765EAA" w:rsidP="00765EAA">
      <w:pPr>
        <w:tabs>
          <w:tab w:val="left" w:pos="284"/>
        </w:tabs>
        <w:spacing w:before="0" w:after="0"/>
        <w:ind w:right="-160"/>
        <w:outlineLvl w:val="0"/>
        <w:rPr>
          <w:rFonts w:cs="Arial"/>
          <w:szCs w:val="24"/>
        </w:rPr>
      </w:pPr>
      <w:r w:rsidRPr="00DD2295">
        <w:rPr>
          <w:rFonts w:cs="Arial"/>
          <w:szCs w:val="24"/>
        </w:rPr>
        <w:t xml:space="preserve">Superintendente Financiero de Colombia </w:t>
      </w:r>
    </w:p>
    <w:p w14:paraId="08E50809" w14:textId="77777777" w:rsidR="00765EAA" w:rsidRPr="00EE3F18" w:rsidRDefault="00765EAA" w:rsidP="00765EAA">
      <w:pPr>
        <w:pStyle w:val="Sinespaciado"/>
        <w:rPr>
          <w:lang w:val="es-ES"/>
        </w:rPr>
      </w:pPr>
      <w:r w:rsidRPr="00EE3F18">
        <w:rPr>
          <w:lang w:val="es-ES"/>
        </w:rPr>
        <w:t>50000</w:t>
      </w:r>
    </w:p>
    <w:p w14:paraId="078C6EEC" w14:textId="77777777" w:rsidR="000C57F4" w:rsidRPr="00EE3F18" w:rsidRDefault="000C57F4">
      <w:pPr>
        <w:rPr>
          <w:rFonts w:cs="Arial"/>
          <w:szCs w:val="24"/>
        </w:rPr>
      </w:pPr>
    </w:p>
    <w:sectPr w:rsidR="000C57F4" w:rsidRPr="00EE3F18" w:rsidSect="00F83A3A">
      <w:headerReference w:type="default" r:id="rId11"/>
      <w:headerReference w:type="first" r:id="rId12"/>
      <w:pgSz w:w="12240" w:h="18720" w:code="120"/>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C8166" w14:textId="77777777" w:rsidR="00746762" w:rsidRDefault="00746762" w:rsidP="00816ABA">
      <w:r>
        <w:separator/>
      </w:r>
    </w:p>
  </w:endnote>
  <w:endnote w:type="continuationSeparator" w:id="0">
    <w:p w14:paraId="12138178" w14:textId="77777777" w:rsidR="00746762" w:rsidRDefault="00746762" w:rsidP="0081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997DB" w14:textId="77777777" w:rsidR="00746762" w:rsidRDefault="00746762" w:rsidP="00816ABA">
      <w:r>
        <w:separator/>
      </w:r>
    </w:p>
  </w:footnote>
  <w:footnote w:type="continuationSeparator" w:id="0">
    <w:p w14:paraId="0DA6A8DD" w14:textId="77777777" w:rsidR="00746762" w:rsidRDefault="00746762" w:rsidP="00816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30744" w14:textId="77777777" w:rsidR="00A65541" w:rsidRDefault="00A65541" w:rsidP="00A65541">
    <w:pPr>
      <w:pStyle w:val="Encabezado"/>
      <w:jc w:val="center"/>
      <w:rPr>
        <w:rFonts w:cs="Arial"/>
        <w:b/>
        <w:bCs/>
        <w:sz w:val="22"/>
        <w:szCs w:val="22"/>
        <w:lang w:val="es-ES"/>
      </w:rPr>
    </w:pPr>
    <w:r w:rsidRPr="00A65541">
      <w:rPr>
        <w:rFonts w:cs="Arial"/>
        <w:b/>
        <w:bCs/>
        <w:sz w:val="22"/>
        <w:szCs w:val="22"/>
        <w:lang w:val="es-ES"/>
      </w:rPr>
      <w:t>SUPERINTENDENCIA FINANCIERA DE COLOMBIA</w:t>
    </w:r>
  </w:p>
  <w:p w14:paraId="767A6E0D" w14:textId="77777777" w:rsidR="00F83A3A" w:rsidRDefault="00F83A3A" w:rsidP="00A65541">
    <w:pPr>
      <w:pStyle w:val="Encabezado"/>
      <w:jc w:val="center"/>
      <w:rPr>
        <w:rFonts w:cs="Arial"/>
        <w:b/>
        <w:bCs/>
        <w:sz w:val="22"/>
        <w:szCs w:val="22"/>
        <w:lang w:val="es-ES"/>
      </w:rPr>
    </w:pPr>
  </w:p>
  <w:p w14:paraId="51DCEB52" w14:textId="14E998E0" w:rsidR="00F83A3A" w:rsidRDefault="00F83A3A" w:rsidP="00F83A3A">
    <w:pPr>
      <w:pStyle w:val="Piedepgina"/>
      <w:rPr>
        <w:b/>
        <w:bCs/>
      </w:rPr>
    </w:pPr>
    <w:r>
      <w:rPr>
        <w:b/>
        <w:bCs/>
      </w:rPr>
      <w:t xml:space="preserve">Circular Externa   </w:t>
    </w:r>
    <w:r w:rsidR="00554229">
      <w:rPr>
        <w:b/>
        <w:bCs/>
      </w:rPr>
      <w:t>007</w:t>
    </w:r>
    <w:r>
      <w:rPr>
        <w:b/>
        <w:bCs/>
      </w:rPr>
      <w:t xml:space="preserve">   de 2020                                                             Página  </w:t>
    </w:r>
    <w:r>
      <w:rPr>
        <w:rFonts w:eastAsia="Arial" w:cs="Arial"/>
        <w:b/>
        <w:bCs/>
      </w:rPr>
      <w:fldChar w:fldCharType="begin"/>
    </w:r>
    <w:r>
      <w:rPr>
        <w:rFonts w:eastAsia="Arial" w:cs="Arial"/>
        <w:b/>
        <w:bCs/>
      </w:rPr>
      <w:instrText xml:space="preserve"> PAGE </w:instrText>
    </w:r>
    <w:r>
      <w:rPr>
        <w:rFonts w:eastAsia="Arial" w:cs="Arial"/>
        <w:b/>
        <w:bCs/>
      </w:rPr>
      <w:fldChar w:fldCharType="separate"/>
    </w:r>
    <w:r w:rsidR="003E7727">
      <w:rPr>
        <w:rFonts w:eastAsia="Arial" w:cs="Arial"/>
        <w:b/>
        <w:bCs/>
        <w:noProof/>
      </w:rPr>
      <w:t>3</w:t>
    </w:r>
    <w:r>
      <w:rPr>
        <w:rFonts w:eastAsia="Arial" w:cs="Arial"/>
        <w:b/>
        <w:bCs/>
      </w:rPr>
      <w:fldChar w:fldCharType="end"/>
    </w:r>
  </w:p>
  <w:p w14:paraId="233C99B5" w14:textId="77777777" w:rsidR="00A65541" w:rsidRPr="00F83A3A" w:rsidRDefault="00A65541" w:rsidP="00A65541">
    <w:pPr>
      <w:pStyle w:val="Encabezado"/>
      <w:jc w:val="center"/>
      <w:rPr>
        <w:rFonts w:cs="Arial"/>
        <w:b/>
        <w:b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E609B" w14:textId="77777777" w:rsidR="00F83A3A" w:rsidRDefault="00F83A3A" w:rsidP="00F83A3A">
    <w:pPr>
      <w:pStyle w:val="Encabezado"/>
      <w:jc w:val="center"/>
      <w:rPr>
        <w:rFonts w:cs="Arial"/>
        <w:b/>
        <w:bCs/>
        <w:sz w:val="22"/>
        <w:szCs w:val="22"/>
        <w:lang w:val="es-ES"/>
      </w:rPr>
    </w:pPr>
    <w:r w:rsidRPr="00A65541">
      <w:rPr>
        <w:rFonts w:cs="Arial"/>
        <w:b/>
        <w:bCs/>
        <w:sz w:val="22"/>
        <w:szCs w:val="22"/>
        <w:lang w:val="es-ES"/>
      </w:rPr>
      <w:t>SUPERINTENDENCIA FINANCIERA DE COLOMBIA</w:t>
    </w:r>
  </w:p>
  <w:p w14:paraId="7AED0F32" w14:textId="77777777" w:rsidR="00F83A3A" w:rsidRDefault="00F83A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F1F45"/>
    <w:multiLevelType w:val="hybridMultilevel"/>
    <w:tmpl w:val="5D24CA38"/>
    <w:lvl w:ilvl="0" w:tplc="76480FEA">
      <w:start w:val="1"/>
      <w:numFmt w:val="lowerRoman"/>
      <w:lvlText w:val="%1)"/>
      <w:lvlJc w:val="left"/>
      <w:pPr>
        <w:ind w:left="1429" w:hanging="720"/>
      </w:pPr>
      <w:rPr>
        <w:rFonts w:ascii="Arial" w:eastAsiaTheme="majorEastAsia" w:hAnsi="Arial" w:cstheme="majorBidi"/>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 w15:restartNumberingAfterBreak="0">
    <w:nsid w:val="09867B1D"/>
    <w:multiLevelType w:val="hybridMultilevel"/>
    <w:tmpl w:val="4B7A1752"/>
    <w:lvl w:ilvl="0" w:tplc="9B520B4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D9A49FE"/>
    <w:multiLevelType w:val="hybridMultilevel"/>
    <w:tmpl w:val="1B1C6482"/>
    <w:lvl w:ilvl="0" w:tplc="4412DB72">
      <w:start w:val="1"/>
      <w:numFmt w:val="lowerRoman"/>
      <w:lvlText w:val="%1)"/>
      <w:lvlJc w:val="left"/>
      <w:pPr>
        <w:ind w:left="1080" w:hanging="360"/>
      </w:pPr>
      <w:rPr>
        <w:rFonts w:cstheme="majorBidi"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2A6D6221"/>
    <w:multiLevelType w:val="hybridMultilevel"/>
    <w:tmpl w:val="D332D8F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8154613"/>
    <w:multiLevelType w:val="multilevel"/>
    <w:tmpl w:val="BB60C57A"/>
    <w:lvl w:ilvl="0">
      <w:start w:val="1"/>
      <w:numFmt w:val="decimal"/>
      <w:pStyle w:val="Ttulo1"/>
      <w:lvlText w:val="%1."/>
      <w:lvlJc w:val="left"/>
      <w:pPr>
        <w:tabs>
          <w:tab w:val="num" w:pos="709"/>
        </w:tabs>
        <w:ind w:left="0" w:firstLine="0"/>
      </w:pPr>
      <w:rPr>
        <w:rFonts w:hint="default"/>
        <w:b w:val="0"/>
        <w:bCs/>
      </w:rPr>
    </w:lvl>
    <w:lvl w:ilvl="1">
      <w:start w:val="1"/>
      <w:numFmt w:val="lowerRoman"/>
      <w:lvlText w:val="%2)"/>
      <w:lvlJc w:val="left"/>
      <w:pPr>
        <w:tabs>
          <w:tab w:val="num" w:pos="1276"/>
        </w:tabs>
        <w:ind w:left="0" w:firstLine="709"/>
      </w:pPr>
      <w:rPr>
        <w:rFonts w:hint="default"/>
      </w:rPr>
    </w:lvl>
    <w:lvl w:ilvl="2">
      <w:start w:val="1"/>
      <w:numFmt w:val="decimal"/>
      <w:pStyle w:val="Ttulo3"/>
      <w:lvlText w:val="%3."/>
      <w:lvlJc w:val="left"/>
      <w:pPr>
        <w:tabs>
          <w:tab w:val="num" w:pos="1985"/>
        </w:tabs>
        <w:ind w:left="709" w:firstLine="567"/>
      </w:pPr>
      <w:rPr>
        <w:rFonts w:ascii="Arial" w:eastAsiaTheme="majorEastAsia" w:hAnsi="Arial" w:cstheme="majorBid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70333DB"/>
    <w:multiLevelType w:val="hybridMultilevel"/>
    <w:tmpl w:val="4B7A1752"/>
    <w:lvl w:ilvl="0" w:tplc="9B520B4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9336366"/>
    <w:multiLevelType w:val="hybridMultilevel"/>
    <w:tmpl w:val="F8EAEBB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
  </w:num>
  <w:num w:numId="2">
    <w:abstractNumId w:val="5"/>
  </w:num>
  <w:num w:numId="3">
    <w:abstractNumId w:val="0"/>
  </w:num>
  <w:num w:numId="4">
    <w:abstractNumId w:val="6"/>
  </w:num>
  <w:num w:numId="5">
    <w:abstractNumId w:val="1"/>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DC5"/>
    <w:rsid w:val="00001A4F"/>
    <w:rsid w:val="00003799"/>
    <w:rsid w:val="000069DA"/>
    <w:rsid w:val="00017C2F"/>
    <w:rsid w:val="00017EEB"/>
    <w:rsid w:val="00035070"/>
    <w:rsid w:val="00042012"/>
    <w:rsid w:val="00062066"/>
    <w:rsid w:val="00062C04"/>
    <w:rsid w:val="00072B33"/>
    <w:rsid w:val="00076965"/>
    <w:rsid w:val="00080972"/>
    <w:rsid w:val="000818F9"/>
    <w:rsid w:val="00082EC6"/>
    <w:rsid w:val="00082FF2"/>
    <w:rsid w:val="000C4D99"/>
    <w:rsid w:val="000C57F4"/>
    <w:rsid w:val="000E58DC"/>
    <w:rsid w:val="000F2F0A"/>
    <w:rsid w:val="000F52E2"/>
    <w:rsid w:val="000F5BC1"/>
    <w:rsid w:val="00101240"/>
    <w:rsid w:val="001158E4"/>
    <w:rsid w:val="0012516D"/>
    <w:rsid w:val="00133A05"/>
    <w:rsid w:val="00135679"/>
    <w:rsid w:val="00145958"/>
    <w:rsid w:val="00147B15"/>
    <w:rsid w:val="001547A1"/>
    <w:rsid w:val="00154B59"/>
    <w:rsid w:val="001746B7"/>
    <w:rsid w:val="00175470"/>
    <w:rsid w:val="00176128"/>
    <w:rsid w:val="0018179F"/>
    <w:rsid w:val="00185FA4"/>
    <w:rsid w:val="001A406F"/>
    <w:rsid w:val="001C17E8"/>
    <w:rsid w:val="001C1DC5"/>
    <w:rsid w:val="001D4C5D"/>
    <w:rsid w:val="001E4175"/>
    <w:rsid w:val="001F2584"/>
    <w:rsid w:val="001F364A"/>
    <w:rsid w:val="00202300"/>
    <w:rsid w:val="00221258"/>
    <w:rsid w:val="002261A0"/>
    <w:rsid w:val="002305E4"/>
    <w:rsid w:val="00233949"/>
    <w:rsid w:val="00247BAA"/>
    <w:rsid w:val="002811C3"/>
    <w:rsid w:val="00281890"/>
    <w:rsid w:val="00282A8F"/>
    <w:rsid w:val="002D1A86"/>
    <w:rsid w:val="002D3C2F"/>
    <w:rsid w:val="002D44C7"/>
    <w:rsid w:val="0032462C"/>
    <w:rsid w:val="00327E34"/>
    <w:rsid w:val="00342E05"/>
    <w:rsid w:val="00345B92"/>
    <w:rsid w:val="00346B84"/>
    <w:rsid w:val="003606E5"/>
    <w:rsid w:val="00362643"/>
    <w:rsid w:val="00362A03"/>
    <w:rsid w:val="00363BB2"/>
    <w:rsid w:val="00365EFD"/>
    <w:rsid w:val="00387DD5"/>
    <w:rsid w:val="00392749"/>
    <w:rsid w:val="003B2B48"/>
    <w:rsid w:val="003B6BFD"/>
    <w:rsid w:val="003D3E35"/>
    <w:rsid w:val="003D4CBB"/>
    <w:rsid w:val="003E1926"/>
    <w:rsid w:val="003E3229"/>
    <w:rsid w:val="003E7727"/>
    <w:rsid w:val="003F151A"/>
    <w:rsid w:val="003F3399"/>
    <w:rsid w:val="003F51E8"/>
    <w:rsid w:val="00406AC7"/>
    <w:rsid w:val="00412E2E"/>
    <w:rsid w:val="0043270D"/>
    <w:rsid w:val="00442EC0"/>
    <w:rsid w:val="00444035"/>
    <w:rsid w:val="00453CA8"/>
    <w:rsid w:val="00455089"/>
    <w:rsid w:val="00466D44"/>
    <w:rsid w:val="00475251"/>
    <w:rsid w:val="0048672F"/>
    <w:rsid w:val="004A7ABF"/>
    <w:rsid w:val="004B0E4E"/>
    <w:rsid w:val="004B690F"/>
    <w:rsid w:val="004C1271"/>
    <w:rsid w:val="004D1281"/>
    <w:rsid w:val="004D3D4A"/>
    <w:rsid w:val="004E5F75"/>
    <w:rsid w:val="0051138A"/>
    <w:rsid w:val="0052172A"/>
    <w:rsid w:val="00524272"/>
    <w:rsid w:val="0054130E"/>
    <w:rsid w:val="005467F3"/>
    <w:rsid w:val="005527A8"/>
    <w:rsid w:val="00554229"/>
    <w:rsid w:val="00556D73"/>
    <w:rsid w:val="005661CE"/>
    <w:rsid w:val="00596CD5"/>
    <w:rsid w:val="00597744"/>
    <w:rsid w:val="005B2F08"/>
    <w:rsid w:val="005B41C0"/>
    <w:rsid w:val="005C247D"/>
    <w:rsid w:val="005E6D45"/>
    <w:rsid w:val="005F7187"/>
    <w:rsid w:val="006046E0"/>
    <w:rsid w:val="00605FEE"/>
    <w:rsid w:val="006077E2"/>
    <w:rsid w:val="0061236C"/>
    <w:rsid w:val="00614A5A"/>
    <w:rsid w:val="00617C55"/>
    <w:rsid w:val="0062137B"/>
    <w:rsid w:val="0064467F"/>
    <w:rsid w:val="00677608"/>
    <w:rsid w:val="00696394"/>
    <w:rsid w:val="006A1DEC"/>
    <w:rsid w:val="006D6D72"/>
    <w:rsid w:val="006F1DF6"/>
    <w:rsid w:val="006F42F1"/>
    <w:rsid w:val="0070641F"/>
    <w:rsid w:val="00707B25"/>
    <w:rsid w:val="00716762"/>
    <w:rsid w:val="0073167A"/>
    <w:rsid w:val="00746762"/>
    <w:rsid w:val="00756C3B"/>
    <w:rsid w:val="00761FDD"/>
    <w:rsid w:val="00765EAA"/>
    <w:rsid w:val="00776EE1"/>
    <w:rsid w:val="007A0A8E"/>
    <w:rsid w:val="007A12AC"/>
    <w:rsid w:val="007B3220"/>
    <w:rsid w:val="007B6CF7"/>
    <w:rsid w:val="007D0D25"/>
    <w:rsid w:val="007D1BC2"/>
    <w:rsid w:val="007D686B"/>
    <w:rsid w:val="007E2FB0"/>
    <w:rsid w:val="007E3BF1"/>
    <w:rsid w:val="007F6443"/>
    <w:rsid w:val="00816ABA"/>
    <w:rsid w:val="0082589C"/>
    <w:rsid w:val="00844612"/>
    <w:rsid w:val="00845682"/>
    <w:rsid w:val="00846C6F"/>
    <w:rsid w:val="00872D49"/>
    <w:rsid w:val="008C24ED"/>
    <w:rsid w:val="008C5A65"/>
    <w:rsid w:val="008C5EE6"/>
    <w:rsid w:val="008C7805"/>
    <w:rsid w:val="008D4C84"/>
    <w:rsid w:val="008E239D"/>
    <w:rsid w:val="008F56D0"/>
    <w:rsid w:val="008F70C0"/>
    <w:rsid w:val="00924B3B"/>
    <w:rsid w:val="0094055C"/>
    <w:rsid w:val="00946AEC"/>
    <w:rsid w:val="00951CEA"/>
    <w:rsid w:val="00966582"/>
    <w:rsid w:val="00974262"/>
    <w:rsid w:val="00976D69"/>
    <w:rsid w:val="00982442"/>
    <w:rsid w:val="0099208B"/>
    <w:rsid w:val="009A0BA8"/>
    <w:rsid w:val="009B54DD"/>
    <w:rsid w:val="009B61E8"/>
    <w:rsid w:val="009C2F56"/>
    <w:rsid w:val="009C3869"/>
    <w:rsid w:val="009D5BD8"/>
    <w:rsid w:val="009D62DA"/>
    <w:rsid w:val="009E2A56"/>
    <w:rsid w:val="00A15379"/>
    <w:rsid w:val="00A42AD1"/>
    <w:rsid w:val="00A45F34"/>
    <w:rsid w:val="00A46025"/>
    <w:rsid w:val="00A5659C"/>
    <w:rsid w:val="00A65541"/>
    <w:rsid w:val="00A763F9"/>
    <w:rsid w:val="00A92D46"/>
    <w:rsid w:val="00A97E00"/>
    <w:rsid w:val="00AA27D3"/>
    <w:rsid w:val="00AB4C2A"/>
    <w:rsid w:val="00AC5950"/>
    <w:rsid w:val="00AD7CFD"/>
    <w:rsid w:val="00AE4E57"/>
    <w:rsid w:val="00AE6C01"/>
    <w:rsid w:val="00AF3483"/>
    <w:rsid w:val="00B075CF"/>
    <w:rsid w:val="00B40BEE"/>
    <w:rsid w:val="00B54AAF"/>
    <w:rsid w:val="00B55056"/>
    <w:rsid w:val="00B70002"/>
    <w:rsid w:val="00BA65E9"/>
    <w:rsid w:val="00BC2709"/>
    <w:rsid w:val="00BD3466"/>
    <w:rsid w:val="00C150E4"/>
    <w:rsid w:val="00C1782A"/>
    <w:rsid w:val="00C47FE7"/>
    <w:rsid w:val="00C52113"/>
    <w:rsid w:val="00C53CCF"/>
    <w:rsid w:val="00C651A3"/>
    <w:rsid w:val="00C75AA1"/>
    <w:rsid w:val="00C94648"/>
    <w:rsid w:val="00CA57A4"/>
    <w:rsid w:val="00CA57AC"/>
    <w:rsid w:val="00D074AB"/>
    <w:rsid w:val="00D23209"/>
    <w:rsid w:val="00D24039"/>
    <w:rsid w:val="00D31DC4"/>
    <w:rsid w:val="00D54A25"/>
    <w:rsid w:val="00D80772"/>
    <w:rsid w:val="00D84440"/>
    <w:rsid w:val="00D855DC"/>
    <w:rsid w:val="00D92FAA"/>
    <w:rsid w:val="00DA2A82"/>
    <w:rsid w:val="00DC02B7"/>
    <w:rsid w:val="00DC3716"/>
    <w:rsid w:val="00DC7B3F"/>
    <w:rsid w:val="00DD0068"/>
    <w:rsid w:val="00DF51B9"/>
    <w:rsid w:val="00E43C1F"/>
    <w:rsid w:val="00E46A59"/>
    <w:rsid w:val="00E731DC"/>
    <w:rsid w:val="00E8398C"/>
    <w:rsid w:val="00E96DBE"/>
    <w:rsid w:val="00EA77C6"/>
    <w:rsid w:val="00ED0534"/>
    <w:rsid w:val="00EE3066"/>
    <w:rsid w:val="00EE3F18"/>
    <w:rsid w:val="00EF74D4"/>
    <w:rsid w:val="00F058A2"/>
    <w:rsid w:val="00F14C0C"/>
    <w:rsid w:val="00F24964"/>
    <w:rsid w:val="00F326D7"/>
    <w:rsid w:val="00F43778"/>
    <w:rsid w:val="00F47772"/>
    <w:rsid w:val="00F50C39"/>
    <w:rsid w:val="00F541DD"/>
    <w:rsid w:val="00F672E4"/>
    <w:rsid w:val="00F7601A"/>
    <w:rsid w:val="00F77303"/>
    <w:rsid w:val="00F83A3A"/>
    <w:rsid w:val="00F85241"/>
    <w:rsid w:val="00F85B33"/>
    <w:rsid w:val="00F90C7F"/>
    <w:rsid w:val="00F9102D"/>
    <w:rsid w:val="00F969E8"/>
    <w:rsid w:val="00FA4221"/>
    <w:rsid w:val="00FE1CD0"/>
    <w:rsid w:val="00FE1F0F"/>
    <w:rsid w:val="00FE3024"/>
    <w:rsid w:val="00FE5FCC"/>
    <w:rsid w:val="00FF676B"/>
    <w:rsid w:val="00FF7855"/>
    <w:rsid w:val="09682D6B"/>
    <w:rsid w:val="1A0CD915"/>
    <w:rsid w:val="6BFE6A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E9B1"/>
  <w15:chartTrackingRefBased/>
  <w15:docId w15:val="{CDB92D86-E875-4AD4-BB4B-89F3AB28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1240"/>
    <w:pPr>
      <w:spacing w:before="120" w:after="12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uiPriority w:val="9"/>
    <w:qFormat/>
    <w:rsid w:val="00101240"/>
    <w:pPr>
      <w:widowControl w:val="0"/>
      <w:numPr>
        <w:numId w:val="1"/>
      </w:numPr>
      <w:jc w:val="both"/>
      <w:outlineLvl w:val="0"/>
    </w:pPr>
    <w:rPr>
      <w:rFonts w:eastAsiaTheme="majorEastAsia" w:cstheme="majorBidi"/>
      <w:szCs w:val="32"/>
    </w:rPr>
  </w:style>
  <w:style w:type="paragraph" w:styleId="Ttulo2">
    <w:name w:val="heading 2"/>
    <w:basedOn w:val="Normal"/>
    <w:next w:val="Normal"/>
    <w:link w:val="Ttulo2Car"/>
    <w:uiPriority w:val="9"/>
    <w:unhideWhenUsed/>
    <w:qFormat/>
    <w:rsid w:val="00101240"/>
    <w:pPr>
      <w:widowControl w:val="0"/>
      <w:jc w:val="both"/>
      <w:outlineLvl w:val="1"/>
    </w:pPr>
    <w:rPr>
      <w:rFonts w:eastAsiaTheme="majorEastAsia" w:cstheme="majorBidi"/>
      <w:szCs w:val="26"/>
    </w:rPr>
  </w:style>
  <w:style w:type="paragraph" w:styleId="Ttulo3">
    <w:name w:val="heading 3"/>
    <w:basedOn w:val="Normal"/>
    <w:next w:val="Normal"/>
    <w:link w:val="Ttulo3Car"/>
    <w:uiPriority w:val="9"/>
    <w:unhideWhenUsed/>
    <w:qFormat/>
    <w:rsid w:val="00101240"/>
    <w:pPr>
      <w:widowControl w:val="0"/>
      <w:numPr>
        <w:ilvl w:val="2"/>
        <w:numId w:val="1"/>
      </w:numPr>
      <w:jc w:val="both"/>
      <w:outlineLvl w:val="2"/>
    </w:pPr>
    <w:rPr>
      <w:rFonts w:eastAsiaTheme="majorEastAsia" w:cstheme="majorBid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16A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6ABA"/>
    <w:rPr>
      <w:rFonts w:ascii="Segoe UI" w:eastAsia="Times New Roman" w:hAnsi="Segoe UI" w:cs="Segoe UI"/>
      <w:sz w:val="18"/>
      <w:szCs w:val="18"/>
      <w:lang w:val="es-ES_tradnl" w:eastAsia="es-ES"/>
    </w:rPr>
  </w:style>
  <w:style w:type="paragraph" w:styleId="Encabezado">
    <w:name w:val="header"/>
    <w:basedOn w:val="Normal"/>
    <w:link w:val="EncabezadoCar"/>
    <w:uiPriority w:val="99"/>
    <w:unhideWhenUsed/>
    <w:rsid w:val="00816ABA"/>
    <w:pPr>
      <w:tabs>
        <w:tab w:val="center" w:pos="4419"/>
        <w:tab w:val="right" w:pos="8838"/>
      </w:tabs>
    </w:pPr>
  </w:style>
  <w:style w:type="character" w:customStyle="1" w:styleId="EncabezadoCar">
    <w:name w:val="Encabezado Car"/>
    <w:basedOn w:val="Fuentedeprrafopredeter"/>
    <w:link w:val="Encabezado"/>
    <w:uiPriority w:val="99"/>
    <w:rsid w:val="00816ABA"/>
    <w:rPr>
      <w:rFonts w:ascii="Times New Roman" w:eastAsia="Times New Roman" w:hAnsi="Times New Roman" w:cs="Times New Roman"/>
      <w:sz w:val="20"/>
      <w:szCs w:val="20"/>
      <w:lang w:val="es-ES_tradnl" w:eastAsia="es-ES"/>
    </w:rPr>
  </w:style>
  <w:style w:type="paragraph" w:styleId="Piedepgina">
    <w:name w:val="footer"/>
    <w:basedOn w:val="Normal"/>
    <w:link w:val="PiedepginaCar"/>
    <w:unhideWhenUsed/>
    <w:rsid w:val="00816ABA"/>
    <w:pPr>
      <w:tabs>
        <w:tab w:val="center" w:pos="4419"/>
        <w:tab w:val="right" w:pos="8838"/>
      </w:tabs>
    </w:pPr>
  </w:style>
  <w:style w:type="character" w:customStyle="1" w:styleId="PiedepginaCar">
    <w:name w:val="Pie de página Car"/>
    <w:basedOn w:val="Fuentedeprrafopredeter"/>
    <w:link w:val="Piedepgina"/>
    <w:rsid w:val="00816ABA"/>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D23209"/>
    <w:pPr>
      <w:jc w:val="both"/>
    </w:pPr>
    <w:rPr>
      <w:rFonts w:cs="Arial"/>
      <w:szCs w:val="24"/>
      <w:lang w:val="es-CO"/>
    </w:rPr>
  </w:style>
  <w:style w:type="character" w:customStyle="1" w:styleId="TextoindependienteCar">
    <w:name w:val="Texto independiente Car"/>
    <w:basedOn w:val="Fuentedeprrafopredeter"/>
    <w:link w:val="Textoindependiente"/>
    <w:rsid w:val="00D23209"/>
    <w:rPr>
      <w:rFonts w:ascii="Arial" w:eastAsia="Times New Roman" w:hAnsi="Arial" w:cs="Arial"/>
      <w:sz w:val="24"/>
      <w:szCs w:val="24"/>
      <w:lang w:eastAsia="es-ES"/>
    </w:rPr>
  </w:style>
  <w:style w:type="character" w:customStyle="1" w:styleId="normaltextrun1">
    <w:name w:val="normaltextrun1"/>
    <w:rsid w:val="008C5EE6"/>
  </w:style>
  <w:style w:type="paragraph" w:styleId="Prrafodelista">
    <w:name w:val="List Paragraph"/>
    <w:basedOn w:val="Normal"/>
    <w:uiPriority w:val="34"/>
    <w:qFormat/>
    <w:rsid w:val="008C5EE6"/>
    <w:pPr>
      <w:ind w:left="720"/>
      <w:contextualSpacing/>
    </w:pPr>
  </w:style>
  <w:style w:type="paragraph" w:customStyle="1" w:styleId="paragraph">
    <w:name w:val="paragraph"/>
    <w:basedOn w:val="Normal"/>
    <w:rsid w:val="000F52E2"/>
    <w:rPr>
      <w:szCs w:val="24"/>
      <w:lang w:val="es-CO" w:eastAsia="es-CO"/>
    </w:rPr>
  </w:style>
  <w:style w:type="character" w:customStyle="1" w:styleId="Ttulo1Car">
    <w:name w:val="Título 1 Car"/>
    <w:basedOn w:val="Fuentedeprrafopredeter"/>
    <w:link w:val="Ttulo1"/>
    <w:uiPriority w:val="9"/>
    <w:rsid w:val="00101240"/>
    <w:rPr>
      <w:rFonts w:ascii="Arial" w:eastAsiaTheme="majorEastAsia" w:hAnsi="Arial" w:cstheme="majorBidi"/>
      <w:sz w:val="24"/>
      <w:szCs w:val="32"/>
      <w:lang w:val="es-ES_tradnl" w:eastAsia="es-ES"/>
    </w:rPr>
  </w:style>
  <w:style w:type="character" w:customStyle="1" w:styleId="Ttulo2Car">
    <w:name w:val="Título 2 Car"/>
    <w:basedOn w:val="Fuentedeprrafopredeter"/>
    <w:link w:val="Ttulo2"/>
    <w:uiPriority w:val="9"/>
    <w:rsid w:val="00101240"/>
    <w:rPr>
      <w:rFonts w:ascii="Arial" w:eastAsiaTheme="majorEastAsia" w:hAnsi="Arial" w:cstheme="majorBidi"/>
      <w:sz w:val="24"/>
      <w:szCs w:val="26"/>
      <w:lang w:val="es-ES_tradnl" w:eastAsia="es-ES"/>
    </w:rPr>
  </w:style>
  <w:style w:type="character" w:customStyle="1" w:styleId="Ttulo3Car">
    <w:name w:val="Título 3 Car"/>
    <w:basedOn w:val="Fuentedeprrafopredeter"/>
    <w:link w:val="Ttulo3"/>
    <w:uiPriority w:val="9"/>
    <w:rsid w:val="00101240"/>
    <w:rPr>
      <w:rFonts w:ascii="Arial" w:eastAsiaTheme="majorEastAsia" w:hAnsi="Arial" w:cstheme="majorBidi"/>
      <w:sz w:val="24"/>
      <w:szCs w:val="24"/>
      <w:lang w:val="es-ES_tradnl" w:eastAsia="es-ES"/>
    </w:rPr>
  </w:style>
  <w:style w:type="character" w:customStyle="1" w:styleId="bumpedfont15">
    <w:name w:val="bumpedfont15"/>
    <w:basedOn w:val="Fuentedeprrafopredeter"/>
    <w:rsid w:val="005527A8"/>
  </w:style>
  <w:style w:type="character" w:customStyle="1" w:styleId="eop">
    <w:name w:val="eop"/>
    <w:rsid w:val="00362643"/>
  </w:style>
  <w:style w:type="character" w:styleId="Hipervnculo">
    <w:name w:val="Hyperlink"/>
    <w:basedOn w:val="Fuentedeprrafopredeter"/>
    <w:uiPriority w:val="99"/>
    <w:semiHidden/>
    <w:unhideWhenUsed/>
    <w:rsid w:val="00FE5FCC"/>
    <w:rPr>
      <w:color w:val="0563C1"/>
      <w:u w:val="single"/>
    </w:rPr>
  </w:style>
  <w:style w:type="paragraph" w:styleId="Sinespaciado">
    <w:name w:val="No Spacing"/>
    <w:uiPriority w:val="1"/>
    <w:qFormat/>
    <w:rsid w:val="00524272"/>
    <w:pPr>
      <w:spacing w:after="0" w:line="240" w:lineRule="auto"/>
    </w:pPr>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994885">
      <w:bodyDiv w:val="1"/>
      <w:marLeft w:val="0"/>
      <w:marRight w:val="0"/>
      <w:marTop w:val="0"/>
      <w:marBottom w:val="0"/>
      <w:divBdr>
        <w:top w:val="none" w:sz="0" w:space="0" w:color="auto"/>
        <w:left w:val="none" w:sz="0" w:space="0" w:color="auto"/>
        <w:bottom w:val="none" w:sz="0" w:space="0" w:color="auto"/>
        <w:right w:val="none" w:sz="0" w:space="0" w:color="auto"/>
      </w:divBdr>
    </w:div>
    <w:div w:id="1857310573">
      <w:bodyDiv w:val="1"/>
      <w:marLeft w:val="0"/>
      <w:marRight w:val="0"/>
      <w:marTop w:val="0"/>
      <w:marBottom w:val="0"/>
      <w:divBdr>
        <w:top w:val="none" w:sz="0" w:space="0" w:color="auto"/>
        <w:left w:val="none" w:sz="0" w:space="0" w:color="auto"/>
        <w:bottom w:val="none" w:sz="0" w:space="0" w:color="auto"/>
        <w:right w:val="none" w:sz="0" w:space="0" w:color="auto"/>
      </w:divBdr>
    </w:div>
    <w:div w:id="189349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9463A95E4AA2429A88DCA9D6A30483" ma:contentTypeVersion="2" ma:contentTypeDescription="Create a new document." ma:contentTypeScope="" ma:versionID="88c061fecf02ab827b54563a525b1a7f">
  <xsd:schema xmlns:xsd="http://www.w3.org/2001/XMLSchema" xmlns:xs="http://www.w3.org/2001/XMLSchema" xmlns:p="http://schemas.microsoft.com/office/2006/metadata/properties" xmlns:ns2="082c7fed-1e01-4f12-8500-bf6850a330ed" targetNamespace="http://schemas.microsoft.com/office/2006/metadata/properties" ma:root="true" ma:fieldsID="8defd799b22a7cb03aee937fde05fff1" ns2:_="">
    <xsd:import namespace="082c7fed-1e01-4f12-8500-bf6850a330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c7fed-1e01-4f12-8500-bf6850a33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9E41-2837-4601-9B6B-DE61A927BB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0FD4BC-5F39-4235-8645-DA80104E5762}">
  <ds:schemaRefs>
    <ds:schemaRef ds:uri="http://schemas.microsoft.com/sharepoint/v3/contenttype/forms"/>
  </ds:schemaRefs>
</ds:datastoreItem>
</file>

<file path=customXml/itemProps3.xml><?xml version="1.0" encoding="utf-8"?>
<ds:datastoreItem xmlns:ds="http://schemas.openxmlformats.org/officeDocument/2006/customXml" ds:itemID="{4C597257-D27E-4BC0-B4CB-C43D60BF3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c7fed-1e01-4f12-8500-bf6850a33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D87623-644F-4DCD-AD8A-5C883D7CE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992</Words>
  <Characters>5462</Characters>
  <Application>Microsoft Office Word</Application>
  <DocSecurity>0</DocSecurity>
  <Lines>45</Lines>
  <Paragraphs>12</Paragraphs>
  <ScaleCrop>false</ScaleCrop>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SEEAR</dc:creator>
  <cp:keywords/>
  <dc:description/>
  <cp:lastModifiedBy>Gabriel Armando Ospina Garcia</cp:lastModifiedBy>
  <cp:revision>3</cp:revision>
  <cp:lastPrinted>2020-03-17T15:47:00Z</cp:lastPrinted>
  <dcterms:created xsi:type="dcterms:W3CDTF">2020-03-18T00:09:00Z</dcterms:created>
  <dcterms:modified xsi:type="dcterms:W3CDTF">2020-03-18T01:02:00Z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0x0101008B9463A95E4AA2429A88DCA9D6A30483</vt:lpwstr>
  </property>
</Properties>
</file>