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6AD23" w14:textId="77777777" w:rsidR="00DD2295" w:rsidRPr="00BB25F9" w:rsidRDefault="00DD2295" w:rsidP="00B12535">
      <w:pPr>
        <w:tabs>
          <w:tab w:val="left" w:pos="284"/>
        </w:tabs>
        <w:spacing w:before="0" w:after="0"/>
        <w:jc w:val="center"/>
        <w:rPr>
          <w:rFonts w:cs="Arial"/>
          <w:b/>
          <w:bCs/>
          <w:szCs w:val="24"/>
          <w:lang w:val="es-ES"/>
        </w:rPr>
      </w:pPr>
    </w:p>
    <w:p w14:paraId="24D5794A" w14:textId="4533C38E" w:rsidR="00B12535" w:rsidRPr="00DD2295" w:rsidRDefault="00B12535" w:rsidP="00B12535">
      <w:pPr>
        <w:tabs>
          <w:tab w:val="left" w:pos="284"/>
        </w:tabs>
        <w:spacing w:before="0" w:after="0"/>
        <w:jc w:val="center"/>
        <w:rPr>
          <w:rFonts w:cs="Arial"/>
          <w:b/>
          <w:bCs/>
          <w:szCs w:val="24"/>
        </w:rPr>
      </w:pPr>
      <w:r w:rsidRPr="00DD2295">
        <w:rPr>
          <w:rFonts w:cs="Arial"/>
          <w:b/>
          <w:bCs/>
          <w:szCs w:val="24"/>
        </w:rPr>
        <w:t>CIRCULAR EXTERNA</w:t>
      </w:r>
      <w:r w:rsidR="00A35DFF" w:rsidRPr="00DD2295">
        <w:rPr>
          <w:rFonts w:cs="Arial"/>
          <w:b/>
          <w:bCs/>
          <w:szCs w:val="24"/>
        </w:rPr>
        <w:t xml:space="preserve"> </w:t>
      </w:r>
      <w:r w:rsidR="00DD2295" w:rsidRPr="00DD2295">
        <w:rPr>
          <w:rFonts w:cs="Arial"/>
          <w:b/>
          <w:bCs/>
          <w:szCs w:val="24"/>
        </w:rPr>
        <w:t>00</w:t>
      </w:r>
      <w:r w:rsidR="000325D7">
        <w:rPr>
          <w:rFonts w:cs="Arial"/>
          <w:b/>
          <w:bCs/>
          <w:szCs w:val="24"/>
        </w:rPr>
        <w:t>8</w:t>
      </w:r>
      <w:r w:rsidR="00A35DFF" w:rsidRPr="00DD2295">
        <w:rPr>
          <w:rFonts w:cs="Arial"/>
          <w:b/>
          <w:bCs/>
          <w:szCs w:val="24"/>
        </w:rPr>
        <w:t xml:space="preserve"> </w:t>
      </w:r>
      <w:r w:rsidRPr="00DD2295">
        <w:rPr>
          <w:rFonts w:cs="Arial"/>
          <w:b/>
          <w:bCs/>
          <w:szCs w:val="24"/>
        </w:rPr>
        <w:t>DE 2020</w:t>
      </w:r>
    </w:p>
    <w:p w14:paraId="2C9AC129" w14:textId="33BCF29B" w:rsidR="00B12535" w:rsidRDefault="00B12535" w:rsidP="00B12535">
      <w:pPr>
        <w:tabs>
          <w:tab w:val="left" w:pos="284"/>
        </w:tabs>
        <w:spacing w:before="0" w:after="0"/>
        <w:jc w:val="center"/>
        <w:rPr>
          <w:rFonts w:cs="Arial"/>
          <w:b/>
          <w:bCs/>
          <w:szCs w:val="24"/>
        </w:rPr>
      </w:pPr>
    </w:p>
    <w:p w14:paraId="72B3E472" w14:textId="77777777" w:rsidR="00DD2295" w:rsidRPr="00DD2295" w:rsidRDefault="00DD2295" w:rsidP="00B12535">
      <w:pPr>
        <w:tabs>
          <w:tab w:val="left" w:pos="284"/>
        </w:tabs>
        <w:spacing w:before="0" w:after="0"/>
        <w:jc w:val="center"/>
        <w:rPr>
          <w:rFonts w:cs="Arial"/>
          <w:b/>
          <w:bCs/>
          <w:szCs w:val="24"/>
        </w:rPr>
      </w:pPr>
    </w:p>
    <w:p w14:paraId="47F0FAFD" w14:textId="6F03A116" w:rsidR="00B12535" w:rsidRPr="00DD2295" w:rsidRDefault="00B12535" w:rsidP="00B12535">
      <w:pPr>
        <w:tabs>
          <w:tab w:val="left" w:pos="284"/>
        </w:tabs>
        <w:spacing w:before="0" w:after="0"/>
        <w:jc w:val="center"/>
        <w:rPr>
          <w:rFonts w:cs="Arial"/>
          <w:b/>
          <w:bCs/>
          <w:szCs w:val="24"/>
        </w:rPr>
      </w:pPr>
      <w:r w:rsidRPr="00DD2295">
        <w:rPr>
          <w:rFonts w:cs="Arial"/>
          <w:b/>
          <w:bCs/>
          <w:szCs w:val="24"/>
        </w:rPr>
        <w:t>(</w:t>
      </w:r>
      <w:r w:rsidR="00A35DFF" w:rsidRPr="00DD2295">
        <w:rPr>
          <w:rFonts w:cs="Arial"/>
          <w:b/>
          <w:bCs/>
          <w:szCs w:val="24"/>
        </w:rPr>
        <w:t xml:space="preserve">  </w:t>
      </w:r>
      <w:r w:rsidR="00A32364">
        <w:rPr>
          <w:rFonts w:cs="Arial"/>
          <w:b/>
          <w:bCs/>
          <w:szCs w:val="24"/>
        </w:rPr>
        <w:t>Marzo 17</w:t>
      </w:r>
      <w:bookmarkStart w:id="0" w:name="_GoBack"/>
      <w:bookmarkEnd w:id="0"/>
      <w:r w:rsidR="00A35DFF" w:rsidRPr="00DD2295">
        <w:rPr>
          <w:rFonts w:cs="Arial"/>
          <w:b/>
          <w:bCs/>
          <w:szCs w:val="24"/>
        </w:rPr>
        <w:t xml:space="preserve"> </w:t>
      </w:r>
      <w:r w:rsidRPr="00DD2295">
        <w:rPr>
          <w:rFonts w:cs="Arial"/>
          <w:b/>
          <w:bCs/>
          <w:szCs w:val="24"/>
        </w:rPr>
        <w:t xml:space="preserve"> )</w:t>
      </w:r>
    </w:p>
    <w:p w14:paraId="02D9A57D" w14:textId="77777777" w:rsidR="0074107F" w:rsidRPr="00DD2295" w:rsidRDefault="0074107F" w:rsidP="00B12535">
      <w:pPr>
        <w:tabs>
          <w:tab w:val="left" w:pos="284"/>
        </w:tabs>
        <w:spacing w:before="0" w:after="0"/>
        <w:jc w:val="both"/>
        <w:outlineLvl w:val="0"/>
        <w:rPr>
          <w:rFonts w:cs="Arial"/>
          <w:b/>
          <w:bCs/>
          <w:szCs w:val="24"/>
        </w:rPr>
      </w:pPr>
    </w:p>
    <w:p w14:paraId="72AE5D43" w14:textId="77777777" w:rsidR="0074107F" w:rsidRPr="00DD2295" w:rsidRDefault="0074107F" w:rsidP="00B12535">
      <w:pPr>
        <w:tabs>
          <w:tab w:val="left" w:pos="284"/>
        </w:tabs>
        <w:spacing w:before="0" w:after="0"/>
        <w:jc w:val="both"/>
        <w:outlineLvl w:val="0"/>
        <w:rPr>
          <w:rFonts w:cs="Arial"/>
          <w:b/>
          <w:bCs/>
          <w:szCs w:val="24"/>
        </w:rPr>
      </w:pPr>
    </w:p>
    <w:p w14:paraId="263CBDAB" w14:textId="77777777" w:rsidR="0074107F" w:rsidRPr="00DD2295" w:rsidRDefault="0074107F" w:rsidP="00B12535">
      <w:pPr>
        <w:tabs>
          <w:tab w:val="left" w:pos="284"/>
        </w:tabs>
        <w:spacing w:before="0" w:after="0"/>
        <w:jc w:val="both"/>
        <w:outlineLvl w:val="0"/>
        <w:rPr>
          <w:rFonts w:cs="Arial"/>
          <w:b/>
          <w:bCs/>
          <w:szCs w:val="24"/>
        </w:rPr>
      </w:pPr>
      <w:r w:rsidRPr="00DD2295">
        <w:rPr>
          <w:rFonts w:cs="Arial"/>
          <w:b/>
          <w:bCs/>
          <w:szCs w:val="24"/>
        </w:rPr>
        <w:t>Señores</w:t>
      </w:r>
    </w:p>
    <w:p w14:paraId="034509F0" w14:textId="77777777" w:rsidR="00B12535" w:rsidRPr="00DD2295" w:rsidRDefault="00B12535" w:rsidP="00B12535">
      <w:pPr>
        <w:tabs>
          <w:tab w:val="left" w:pos="284"/>
        </w:tabs>
        <w:spacing w:before="0" w:after="0"/>
        <w:jc w:val="both"/>
        <w:outlineLvl w:val="0"/>
        <w:rPr>
          <w:rFonts w:cs="Arial"/>
          <w:b/>
          <w:bCs/>
          <w:szCs w:val="24"/>
        </w:rPr>
      </w:pPr>
    </w:p>
    <w:p w14:paraId="0A9AF43D" w14:textId="77777777" w:rsidR="0074107F" w:rsidRPr="00DD2295" w:rsidRDefault="0074107F" w:rsidP="00B12535">
      <w:pPr>
        <w:pStyle w:val="Textoindependiente"/>
        <w:tabs>
          <w:tab w:val="left" w:pos="284"/>
        </w:tabs>
        <w:spacing w:before="0" w:after="0"/>
        <w:rPr>
          <w:color w:val="000000" w:themeColor="text1"/>
          <w:lang w:val="es-ES"/>
        </w:rPr>
      </w:pPr>
      <w:r w:rsidRPr="00DD2295">
        <w:rPr>
          <w:color w:val="000000" w:themeColor="text1"/>
        </w:rPr>
        <w:t>REPRESENTANTES LEGALES DE LAS ENTIDADES VIGILADAS POR LA SUPERINTENDENCIA FINANCERA</w:t>
      </w:r>
      <w:r w:rsidRPr="00DD2295">
        <w:rPr>
          <w:color w:val="000000" w:themeColor="text1"/>
          <w:lang w:val="es-ES"/>
        </w:rPr>
        <w:t xml:space="preserve">. </w:t>
      </w:r>
    </w:p>
    <w:p w14:paraId="7598768A" w14:textId="77777777" w:rsidR="0074107F" w:rsidRPr="00DD2295" w:rsidRDefault="0074107F" w:rsidP="00B12535">
      <w:pPr>
        <w:tabs>
          <w:tab w:val="left" w:pos="284"/>
        </w:tabs>
        <w:spacing w:before="0" w:after="0"/>
        <w:jc w:val="both"/>
        <w:rPr>
          <w:rFonts w:cs="Arial"/>
          <w:szCs w:val="24"/>
          <w:lang w:val="es-ES"/>
        </w:rPr>
      </w:pPr>
    </w:p>
    <w:p w14:paraId="75088DAC" w14:textId="77777777" w:rsidR="0074107F" w:rsidRPr="00DD2295" w:rsidRDefault="0074107F" w:rsidP="00B12535">
      <w:pPr>
        <w:tabs>
          <w:tab w:val="left" w:pos="284"/>
        </w:tabs>
        <w:spacing w:before="0" w:after="0"/>
        <w:jc w:val="both"/>
        <w:rPr>
          <w:rFonts w:cs="Arial"/>
          <w:b/>
          <w:szCs w:val="24"/>
        </w:rPr>
      </w:pPr>
      <w:r w:rsidRPr="00DD2295">
        <w:rPr>
          <w:rFonts w:cs="Arial"/>
          <w:b/>
          <w:bCs/>
          <w:szCs w:val="24"/>
        </w:rPr>
        <w:t xml:space="preserve">Referencia: </w:t>
      </w:r>
      <w:r w:rsidRPr="00DD2295">
        <w:rPr>
          <w:rFonts w:cs="Arial"/>
          <w:b/>
          <w:color w:val="000000" w:themeColor="text1"/>
          <w:szCs w:val="24"/>
        </w:rPr>
        <w:t xml:space="preserve">Instrucciones </w:t>
      </w:r>
      <w:r w:rsidR="00C84A37" w:rsidRPr="00DD2295">
        <w:rPr>
          <w:rFonts w:cs="Arial"/>
          <w:b/>
          <w:color w:val="000000" w:themeColor="text1"/>
          <w:szCs w:val="24"/>
        </w:rPr>
        <w:t xml:space="preserve">relacionadas con el fortalecimiento de la gestión del </w:t>
      </w:r>
      <w:r w:rsidR="00A518FA" w:rsidRPr="00DD2295">
        <w:rPr>
          <w:rFonts w:cs="Arial"/>
          <w:b/>
          <w:color w:val="000000" w:themeColor="text1"/>
          <w:szCs w:val="24"/>
        </w:rPr>
        <w:t>r</w:t>
      </w:r>
      <w:r w:rsidRPr="00DD2295">
        <w:rPr>
          <w:rFonts w:cs="Arial"/>
          <w:b/>
          <w:color w:val="000000" w:themeColor="text1"/>
          <w:szCs w:val="24"/>
        </w:rPr>
        <w:t xml:space="preserve">iesgo </w:t>
      </w:r>
      <w:r w:rsidR="00A518FA" w:rsidRPr="00DD2295">
        <w:rPr>
          <w:rFonts w:cs="Arial"/>
          <w:b/>
          <w:color w:val="000000" w:themeColor="text1"/>
          <w:szCs w:val="24"/>
        </w:rPr>
        <w:t>o</w:t>
      </w:r>
      <w:r w:rsidRPr="00DD2295">
        <w:rPr>
          <w:rFonts w:cs="Arial"/>
          <w:b/>
          <w:color w:val="000000" w:themeColor="text1"/>
          <w:szCs w:val="24"/>
        </w:rPr>
        <w:t>pera</w:t>
      </w:r>
      <w:r w:rsidR="00FC6C03" w:rsidRPr="00DD2295">
        <w:rPr>
          <w:rFonts w:cs="Arial"/>
          <w:b/>
          <w:color w:val="000000" w:themeColor="text1"/>
          <w:szCs w:val="24"/>
        </w:rPr>
        <w:t>c</w:t>
      </w:r>
      <w:r w:rsidR="00A518FA" w:rsidRPr="00DD2295">
        <w:rPr>
          <w:rFonts w:cs="Arial"/>
          <w:b/>
          <w:color w:val="000000" w:themeColor="text1"/>
          <w:szCs w:val="24"/>
        </w:rPr>
        <w:t>ional</w:t>
      </w:r>
      <w:r w:rsidRPr="00DD2295">
        <w:rPr>
          <w:rFonts w:cs="Arial"/>
          <w:b/>
          <w:color w:val="000000" w:themeColor="text1"/>
          <w:szCs w:val="24"/>
        </w:rPr>
        <w:t xml:space="preserve"> </w:t>
      </w:r>
      <w:r w:rsidR="00C84A37" w:rsidRPr="00DD2295">
        <w:rPr>
          <w:rFonts w:cs="Arial"/>
          <w:b/>
          <w:color w:val="000000" w:themeColor="text1"/>
          <w:szCs w:val="24"/>
        </w:rPr>
        <w:t xml:space="preserve">ante los eventos derivados de la coyuntura de </w:t>
      </w:r>
      <w:r w:rsidR="009E19D9" w:rsidRPr="00DD2295">
        <w:rPr>
          <w:rFonts w:cs="Arial"/>
          <w:b/>
          <w:color w:val="000000" w:themeColor="text1"/>
          <w:szCs w:val="24"/>
        </w:rPr>
        <w:t>l</w:t>
      </w:r>
      <w:r w:rsidR="00C84A37" w:rsidRPr="00DD2295">
        <w:rPr>
          <w:rFonts w:cs="Arial"/>
          <w:b/>
          <w:color w:val="000000" w:themeColor="text1"/>
          <w:szCs w:val="24"/>
        </w:rPr>
        <w:t xml:space="preserve">os mercados financieros y </w:t>
      </w:r>
      <w:r w:rsidRPr="00DD2295">
        <w:rPr>
          <w:rFonts w:cs="Arial"/>
          <w:b/>
          <w:color w:val="000000" w:themeColor="text1"/>
          <w:szCs w:val="24"/>
        </w:rPr>
        <w:t>la situación de emergencia sanitaria declarada por el Gobierno Nacional mediante Resolución No. 385 de 12 de marzo de 2020.</w:t>
      </w:r>
    </w:p>
    <w:p w14:paraId="642FF2A6" w14:textId="77777777" w:rsidR="0074107F" w:rsidRPr="00DD2295" w:rsidRDefault="0074107F" w:rsidP="00B12535">
      <w:pPr>
        <w:tabs>
          <w:tab w:val="left" w:pos="284"/>
        </w:tabs>
        <w:spacing w:before="0" w:after="0"/>
        <w:jc w:val="both"/>
        <w:rPr>
          <w:rFonts w:cs="Arial"/>
          <w:color w:val="000000" w:themeColor="text1"/>
          <w:szCs w:val="24"/>
        </w:rPr>
      </w:pPr>
    </w:p>
    <w:p w14:paraId="1E7CAB30" w14:textId="10F5C806" w:rsidR="0074107F" w:rsidRPr="00DD2295" w:rsidRDefault="0074107F" w:rsidP="00DD2295">
      <w:pPr>
        <w:tabs>
          <w:tab w:val="left" w:pos="284"/>
          <w:tab w:val="center" w:pos="4681"/>
        </w:tabs>
        <w:spacing w:before="0" w:after="0"/>
        <w:jc w:val="both"/>
        <w:rPr>
          <w:rFonts w:cs="Arial"/>
          <w:color w:val="000000" w:themeColor="text1"/>
          <w:szCs w:val="24"/>
        </w:rPr>
      </w:pPr>
      <w:r w:rsidRPr="00DD2295">
        <w:rPr>
          <w:rFonts w:cs="Arial"/>
          <w:color w:val="000000" w:themeColor="text1"/>
          <w:szCs w:val="24"/>
        </w:rPr>
        <w:t xml:space="preserve">Respetados señores: </w:t>
      </w:r>
      <w:r w:rsidR="00DD2295" w:rsidRPr="00DD2295">
        <w:rPr>
          <w:rFonts w:cs="Arial"/>
          <w:color w:val="000000" w:themeColor="text1"/>
          <w:szCs w:val="24"/>
        </w:rPr>
        <w:tab/>
      </w:r>
    </w:p>
    <w:p w14:paraId="2FC024F5" w14:textId="77777777" w:rsidR="0074107F" w:rsidRPr="00DD2295" w:rsidRDefault="0074107F" w:rsidP="00B12535">
      <w:pPr>
        <w:tabs>
          <w:tab w:val="left" w:pos="284"/>
        </w:tabs>
        <w:spacing w:before="0" w:after="0"/>
        <w:jc w:val="both"/>
        <w:rPr>
          <w:rFonts w:cs="Arial"/>
          <w:szCs w:val="24"/>
        </w:rPr>
      </w:pPr>
    </w:p>
    <w:p w14:paraId="7956A0A5" w14:textId="77777777" w:rsidR="0074107F" w:rsidRPr="00DD2295" w:rsidRDefault="003B5D50" w:rsidP="00B12535">
      <w:pPr>
        <w:tabs>
          <w:tab w:val="left" w:pos="284"/>
        </w:tabs>
        <w:spacing w:before="0" w:after="0"/>
        <w:jc w:val="both"/>
        <w:rPr>
          <w:rFonts w:cs="Arial"/>
          <w:color w:val="000000" w:themeColor="text1"/>
          <w:szCs w:val="24"/>
        </w:rPr>
      </w:pPr>
      <w:r w:rsidRPr="00DD2295">
        <w:rPr>
          <w:rFonts w:cs="Arial"/>
          <w:color w:val="000000" w:themeColor="text1"/>
          <w:szCs w:val="24"/>
        </w:rPr>
        <w:t>En atención a los recientes acontecimientos en los cuales los mercados financieros han presentado una volatilidad inusitada, así como los efectos que sobre la prestación de los servicios financieros pueden derivarse de la aplicación de medidas preventivas para detener la propagación del COVID-19, e</w:t>
      </w:r>
      <w:r w:rsidR="0074107F" w:rsidRPr="00DD2295">
        <w:rPr>
          <w:rFonts w:cs="Arial"/>
          <w:color w:val="000000" w:themeColor="text1"/>
          <w:szCs w:val="24"/>
        </w:rPr>
        <w:t>sta Superintendencia encuentra necesario disponer medidas de carácter transitorio que busquen</w:t>
      </w:r>
      <w:r w:rsidR="0046410E" w:rsidRPr="00DD2295">
        <w:rPr>
          <w:rFonts w:cs="Arial"/>
          <w:color w:val="000000" w:themeColor="text1"/>
          <w:szCs w:val="24"/>
        </w:rPr>
        <w:t xml:space="preserve"> fortalecer la resiliencia de las entidades vigiladas ante la actual coyuntura para preservar </w:t>
      </w:r>
      <w:r w:rsidR="0074107F" w:rsidRPr="00DD2295">
        <w:rPr>
          <w:rFonts w:cs="Arial"/>
          <w:color w:val="000000" w:themeColor="text1"/>
          <w:szCs w:val="24"/>
        </w:rPr>
        <w:t>la continuidad de la prestación de los servicios financieros.</w:t>
      </w:r>
    </w:p>
    <w:p w14:paraId="0B5DCB63" w14:textId="77777777" w:rsidR="00B12535" w:rsidRPr="00DD2295" w:rsidRDefault="00B12535" w:rsidP="00B12535">
      <w:pPr>
        <w:tabs>
          <w:tab w:val="left" w:pos="284"/>
        </w:tabs>
        <w:spacing w:before="0" w:after="0"/>
        <w:jc w:val="both"/>
        <w:rPr>
          <w:rFonts w:cs="Arial"/>
          <w:color w:val="000000" w:themeColor="text1"/>
          <w:szCs w:val="24"/>
        </w:rPr>
      </w:pPr>
    </w:p>
    <w:p w14:paraId="285048BE" w14:textId="77777777" w:rsidR="0074107F" w:rsidRPr="00DD2295" w:rsidRDefault="0074107F" w:rsidP="00B12535">
      <w:pPr>
        <w:tabs>
          <w:tab w:val="left" w:pos="284"/>
        </w:tabs>
        <w:spacing w:before="0" w:after="0"/>
        <w:jc w:val="both"/>
        <w:rPr>
          <w:rFonts w:cs="Arial"/>
          <w:color w:val="000000" w:themeColor="text1"/>
          <w:szCs w:val="24"/>
        </w:rPr>
      </w:pPr>
      <w:r w:rsidRPr="00DD2295">
        <w:rPr>
          <w:rFonts w:cs="Arial"/>
          <w:color w:val="000000" w:themeColor="text1"/>
          <w:szCs w:val="24"/>
        </w:rPr>
        <w:t>En consecuencia y en ejercicio de las facultades legales, en especial las conferidas en el literal (a) numeral (3) del artículo 326 del Estatuto Orgánico del Sistema Financiero</w:t>
      </w:r>
      <w:r w:rsidR="00BC2456" w:rsidRPr="00DD2295">
        <w:rPr>
          <w:rFonts w:cs="Arial"/>
          <w:color w:val="000000" w:themeColor="text1"/>
          <w:szCs w:val="24"/>
        </w:rPr>
        <w:t>, en el literal (d) del artículo 12 de la Ley 1328 de 2008</w:t>
      </w:r>
      <w:r w:rsidRPr="00DD2295">
        <w:rPr>
          <w:rFonts w:cs="Arial"/>
          <w:color w:val="000000" w:themeColor="text1"/>
          <w:szCs w:val="24"/>
        </w:rPr>
        <w:t xml:space="preserve"> y en los numerales 4°, 5° y 6° del artículo 11.2.1.4.2 del Decreto 2555 de 2010, esta Superintendencia imparte las siguientes instrucciones transitorias:</w:t>
      </w:r>
    </w:p>
    <w:p w14:paraId="2B036835" w14:textId="77777777" w:rsidR="0074107F" w:rsidRPr="00DD2295" w:rsidRDefault="0074107F" w:rsidP="00B12535">
      <w:pPr>
        <w:tabs>
          <w:tab w:val="left" w:pos="284"/>
        </w:tabs>
        <w:spacing w:before="0" w:after="0"/>
        <w:jc w:val="both"/>
        <w:rPr>
          <w:rFonts w:cs="Arial"/>
          <w:b/>
          <w:szCs w:val="24"/>
        </w:rPr>
      </w:pPr>
    </w:p>
    <w:p w14:paraId="3CC18229" w14:textId="77777777" w:rsidR="0074107F" w:rsidRPr="00DD2295" w:rsidRDefault="0074107F" w:rsidP="00B12535">
      <w:pPr>
        <w:tabs>
          <w:tab w:val="left" w:pos="284"/>
        </w:tabs>
        <w:spacing w:before="0" w:after="0"/>
        <w:jc w:val="both"/>
        <w:rPr>
          <w:rFonts w:cs="Arial"/>
          <w:b/>
          <w:szCs w:val="24"/>
          <w:lang w:val="es-CO"/>
        </w:rPr>
      </w:pPr>
      <w:r w:rsidRPr="00DD2295">
        <w:rPr>
          <w:rFonts w:cs="Arial"/>
          <w:b/>
          <w:szCs w:val="24"/>
          <w:lang w:val="es-CO"/>
        </w:rPr>
        <w:t xml:space="preserve">Medidas orientadas a gestionar el riesgo </w:t>
      </w:r>
      <w:r w:rsidR="004209F9" w:rsidRPr="00DD2295">
        <w:rPr>
          <w:rFonts w:cs="Arial"/>
          <w:b/>
          <w:szCs w:val="24"/>
          <w:lang w:val="es-CO"/>
        </w:rPr>
        <w:t xml:space="preserve">operacional </w:t>
      </w:r>
      <w:r w:rsidRPr="00DD2295">
        <w:rPr>
          <w:rFonts w:cs="Arial"/>
          <w:b/>
          <w:szCs w:val="24"/>
          <w:lang w:val="es-CO"/>
        </w:rPr>
        <w:t>en atención a la coyuntura.</w:t>
      </w:r>
    </w:p>
    <w:p w14:paraId="66AB2E9E" w14:textId="77777777" w:rsidR="004209F9" w:rsidRPr="00DD2295" w:rsidRDefault="004209F9" w:rsidP="00B12535">
      <w:pPr>
        <w:tabs>
          <w:tab w:val="left" w:pos="284"/>
        </w:tabs>
        <w:spacing w:before="0" w:after="0"/>
        <w:jc w:val="both"/>
        <w:rPr>
          <w:rFonts w:cs="Arial"/>
          <w:b/>
          <w:szCs w:val="24"/>
          <w:lang w:val="es-CO"/>
        </w:rPr>
      </w:pPr>
    </w:p>
    <w:p w14:paraId="5028476D" w14:textId="77777777" w:rsidR="004209F9" w:rsidRPr="00DD2295" w:rsidRDefault="004209F9" w:rsidP="00B12535">
      <w:pPr>
        <w:tabs>
          <w:tab w:val="left" w:pos="284"/>
        </w:tabs>
        <w:spacing w:before="0" w:after="0"/>
        <w:jc w:val="both"/>
        <w:rPr>
          <w:rFonts w:cs="Arial"/>
          <w:bCs/>
          <w:szCs w:val="24"/>
          <w:lang w:val="es-CO"/>
        </w:rPr>
      </w:pPr>
      <w:r w:rsidRPr="00DD2295">
        <w:rPr>
          <w:rFonts w:cs="Arial"/>
          <w:bCs/>
          <w:szCs w:val="24"/>
          <w:lang w:val="es-CO"/>
        </w:rPr>
        <w:t>Las entidades vigiladas deberán:</w:t>
      </w:r>
    </w:p>
    <w:p w14:paraId="34490D3F" w14:textId="77777777" w:rsidR="00B12535" w:rsidRPr="00DD2295" w:rsidRDefault="00B12535" w:rsidP="00B12535">
      <w:pPr>
        <w:tabs>
          <w:tab w:val="left" w:pos="284"/>
        </w:tabs>
        <w:spacing w:before="0" w:after="0"/>
        <w:jc w:val="both"/>
        <w:rPr>
          <w:rFonts w:cs="Arial"/>
          <w:color w:val="000000"/>
          <w:szCs w:val="24"/>
          <w:lang w:val="es-MX"/>
        </w:rPr>
      </w:pPr>
    </w:p>
    <w:p w14:paraId="718DEBE5" w14:textId="77777777" w:rsidR="0074107F" w:rsidRPr="00DD2295" w:rsidRDefault="004209F9" w:rsidP="004209F9">
      <w:pPr>
        <w:pStyle w:val="Ttulo1"/>
        <w:numPr>
          <w:ilvl w:val="0"/>
          <w:numId w:val="0"/>
        </w:numPr>
        <w:tabs>
          <w:tab w:val="left" w:pos="284"/>
        </w:tabs>
        <w:spacing w:before="0" w:after="0"/>
        <w:rPr>
          <w:rStyle w:val="Ttulo1Car"/>
          <w:rFonts w:cs="Arial"/>
          <w:szCs w:val="24"/>
        </w:rPr>
      </w:pPr>
      <w:r w:rsidRPr="00DD2295">
        <w:rPr>
          <w:rStyle w:val="Ttulo1Car"/>
          <w:rFonts w:cs="Arial"/>
          <w:b/>
          <w:bCs/>
          <w:szCs w:val="24"/>
        </w:rPr>
        <w:t>PRIMERA.</w:t>
      </w:r>
      <w:r w:rsidRPr="00DD2295">
        <w:rPr>
          <w:rStyle w:val="Ttulo1Car"/>
          <w:rFonts w:cs="Arial"/>
          <w:szCs w:val="24"/>
        </w:rPr>
        <w:t xml:space="preserve"> E</w:t>
      </w:r>
      <w:r w:rsidR="0074107F" w:rsidRPr="00DD2295">
        <w:rPr>
          <w:rStyle w:val="Ttulo1Car"/>
          <w:rFonts w:cs="Arial"/>
          <w:szCs w:val="24"/>
        </w:rPr>
        <w:t>stablecer planes de acción a corto plazo y mediano plazo,</w:t>
      </w:r>
      <w:r w:rsidR="00DF69D4" w:rsidRPr="00DD2295">
        <w:rPr>
          <w:rStyle w:val="Ttulo1Car"/>
          <w:rFonts w:cs="Arial"/>
          <w:szCs w:val="24"/>
        </w:rPr>
        <w:t xml:space="preserve"> previendo que la actual contingencia pueda extenderse por al menos 120 días</w:t>
      </w:r>
      <w:r w:rsidR="005D1529" w:rsidRPr="00DD2295">
        <w:rPr>
          <w:rStyle w:val="Ttulo1Car"/>
          <w:rFonts w:cs="Arial"/>
          <w:szCs w:val="24"/>
        </w:rPr>
        <w:t xml:space="preserve">. Estos deben ser ejecutados y diseñados </w:t>
      </w:r>
      <w:r w:rsidR="0074107F" w:rsidRPr="00DD2295">
        <w:rPr>
          <w:rStyle w:val="Ttulo1Car"/>
          <w:rFonts w:cs="Arial"/>
          <w:szCs w:val="24"/>
        </w:rPr>
        <w:t>dependiendo del nivel de riesgo establecido por las autoridades correspondientes</w:t>
      </w:r>
      <w:r w:rsidR="005D1529" w:rsidRPr="00DD2295">
        <w:rPr>
          <w:rStyle w:val="Ttulo1Car"/>
          <w:rFonts w:cs="Arial"/>
          <w:szCs w:val="24"/>
        </w:rPr>
        <w:t xml:space="preserve"> y las previsiones normativas aplicables</w:t>
      </w:r>
      <w:r w:rsidR="0074107F" w:rsidRPr="00DD2295">
        <w:rPr>
          <w:rStyle w:val="Ttulo1Car"/>
          <w:rFonts w:cs="Arial"/>
          <w:szCs w:val="24"/>
        </w:rPr>
        <w:t xml:space="preserve"> en la región y/o jurisdicción donde operan las entidades y sus filiales. Las entidades deben informar a la Superintendencia a través del correo electrónico </w:t>
      </w:r>
      <w:hyperlink r:id="rId11" w:history="1">
        <w:r w:rsidR="0074107F" w:rsidRPr="00DD2295">
          <w:rPr>
            <w:rStyle w:val="Hipervnculo"/>
            <w:rFonts w:eastAsia="Times New Roman" w:cs="Arial"/>
            <w:bCs/>
            <w:szCs w:val="24"/>
          </w:rPr>
          <w:t>riesgooperativo@superfinanciera.gov.co</w:t>
        </w:r>
      </w:hyperlink>
      <w:r w:rsidR="0074107F" w:rsidRPr="00DD2295">
        <w:rPr>
          <w:rStyle w:val="Ttulo1Car"/>
          <w:rFonts w:cs="Arial"/>
          <w:szCs w:val="24"/>
        </w:rPr>
        <w:t xml:space="preserve"> sobre las dificultades en la implementación de estos planes de acción.</w:t>
      </w:r>
    </w:p>
    <w:p w14:paraId="6C9FB15E" w14:textId="77777777" w:rsidR="001069CE" w:rsidRPr="00DD2295" w:rsidRDefault="001069CE" w:rsidP="00B12535">
      <w:pPr>
        <w:tabs>
          <w:tab w:val="left" w:pos="284"/>
        </w:tabs>
        <w:spacing w:before="0" w:after="0"/>
        <w:rPr>
          <w:rFonts w:eastAsiaTheme="majorEastAsia" w:cs="Arial"/>
          <w:szCs w:val="24"/>
        </w:rPr>
      </w:pPr>
    </w:p>
    <w:p w14:paraId="456442AF" w14:textId="77777777" w:rsidR="001069CE" w:rsidRPr="00DD2295" w:rsidRDefault="001069CE" w:rsidP="00B12535">
      <w:pPr>
        <w:tabs>
          <w:tab w:val="left" w:pos="284"/>
        </w:tabs>
        <w:spacing w:before="0" w:after="0"/>
        <w:jc w:val="both"/>
        <w:rPr>
          <w:rFonts w:cs="Arial"/>
          <w:bCs/>
          <w:color w:val="000000" w:themeColor="text1"/>
          <w:szCs w:val="24"/>
        </w:rPr>
      </w:pPr>
      <w:r w:rsidRPr="00DD2295">
        <w:rPr>
          <w:rFonts w:cs="Arial"/>
          <w:bCs/>
          <w:color w:val="000000" w:themeColor="text1"/>
          <w:szCs w:val="24"/>
        </w:rPr>
        <w:t xml:space="preserve">De igual forma, </w:t>
      </w:r>
      <w:r w:rsidR="0041064A" w:rsidRPr="00DD2295">
        <w:rPr>
          <w:rFonts w:cs="Arial"/>
          <w:bCs/>
          <w:color w:val="000000" w:themeColor="text1"/>
          <w:szCs w:val="24"/>
        </w:rPr>
        <w:t>las entidades deben conformar un</w:t>
      </w:r>
      <w:r w:rsidRPr="00DD2295">
        <w:rPr>
          <w:rFonts w:cs="Arial"/>
          <w:bCs/>
          <w:color w:val="000000" w:themeColor="text1"/>
          <w:szCs w:val="24"/>
        </w:rPr>
        <w:t xml:space="preserve"> comité de atención de emergencias </w:t>
      </w:r>
      <w:r w:rsidR="0041064A" w:rsidRPr="00DD2295">
        <w:rPr>
          <w:rFonts w:cs="Arial"/>
          <w:bCs/>
          <w:color w:val="000000" w:themeColor="text1"/>
          <w:szCs w:val="24"/>
        </w:rPr>
        <w:t>el cual</w:t>
      </w:r>
      <w:r w:rsidRPr="00DD2295">
        <w:rPr>
          <w:rFonts w:cs="Arial"/>
          <w:bCs/>
          <w:color w:val="000000" w:themeColor="text1"/>
          <w:szCs w:val="24"/>
        </w:rPr>
        <w:t xml:space="preserve"> deberá sesionar permanentemente y mantener informada a la junta directiva sobre la evolución de la situación y la efectividad en la aplicación de los planes</w:t>
      </w:r>
      <w:r w:rsidR="00703AD9" w:rsidRPr="00DD2295">
        <w:rPr>
          <w:rFonts w:cs="Arial"/>
          <w:bCs/>
          <w:color w:val="000000" w:themeColor="text1"/>
          <w:szCs w:val="24"/>
        </w:rPr>
        <w:t xml:space="preserve"> de acción</w:t>
      </w:r>
      <w:r w:rsidR="000C71BF" w:rsidRPr="00DD2295">
        <w:rPr>
          <w:rFonts w:cs="Arial"/>
          <w:bCs/>
          <w:color w:val="000000" w:themeColor="text1"/>
          <w:szCs w:val="24"/>
        </w:rPr>
        <w:t>, mientras esta se mantenga</w:t>
      </w:r>
      <w:r w:rsidRPr="00DD2295">
        <w:rPr>
          <w:rFonts w:cs="Arial"/>
          <w:bCs/>
          <w:color w:val="000000" w:themeColor="text1"/>
          <w:szCs w:val="24"/>
        </w:rPr>
        <w:t>.</w:t>
      </w:r>
    </w:p>
    <w:p w14:paraId="325EFDD4" w14:textId="77777777" w:rsidR="001069CE" w:rsidRPr="00DD2295" w:rsidRDefault="001069CE" w:rsidP="00B12535">
      <w:pPr>
        <w:tabs>
          <w:tab w:val="left" w:pos="284"/>
        </w:tabs>
        <w:spacing w:before="0" w:after="0"/>
        <w:rPr>
          <w:rFonts w:eastAsiaTheme="majorEastAsia" w:cs="Arial"/>
          <w:szCs w:val="24"/>
        </w:rPr>
      </w:pPr>
    </w:p>
    <w:p w14:paraId="013C8815" w14:textId="77777777" w:rsidR="001F07E5" w:rsidRPr="00DD2295" w:rsidRDefault="004209F9" w:rsidP="004209F9">
      <w:pPr>
        <w:pStyle w:val="Ttulo1"/>
        <w:numPr>
          <w:ilvl w:val="0"/>
          <w:numId w:val="0"/>
        </w:numPr>
        <w:tabs>
          <w:tab w:val="left" w:pos="284"/>
        </w:tabs>
        <w:spacing w:before="0" w:after="0"/>
        <w:rPr>
          <w:rFonts w:cs="Arial"/>
          <w:szCs w:val="24"/>
        </w:rPr>
      </w:pPr>
      <w:r w:rsidRPr="00DD2295">
        <w:rPr>
          <w:rStyle w:val="Ttulo1Car"/>
          <w:rFonts w:cs="Arial"/>
          <w:b/>
          <w:bCs/>
          <w:szCs w:val="24"/>
        </w:rPr>
        <w:t>SEGUND</w:t>
      </w:r>
      <w:r w:rsidR="00F40671" w:rsidRPr="00DD2295">
        <w:rPr>
          <w:rStyle w:val="Ttulo1Car"/>
          <w:rFonts w:cs="Arial"/>
          <w:b/>
          <w:bCs/>
          <w:szCs w:val="24"/>
        </w:rPr>
        <w:t>A</w:t>
      </w:r>
      <w:r w:rsidRPr="00DD2295">
        <w:rPr>
          <w:rStyle w:val="Ttulo1Car"/>
          <w:rFonts w:cs="Arial"/>
          <w:b/>
          <w:bCs/>
          <w:szCs w:val="24"/>
        </w:rPr>
        <w:t xml:space="preserve">. </w:t>
      </w:r>
      <w:r w:rsidR="00BE388F" w:rsidRPr="00DD2295">
        <w:rPr>
          <w:rFonts w:cs="Arial"/>
          <w:szCs w:val="24"/>
        </w:rPr>
        <w:t>Informar a los consumidores financieros sobre las medidas derivadas de estos planes de acción, que tengan incidencia en ellos y/o grupos de interés. Lo anterior deberá ser comunicad</w:t>
      </w:r>
      <w:r w:rsidR="00967A42" w:rsidRPr="00DD2295">
        <w:rPr>
          <w:rFonts w:cs="Arial"/>
          <w:szCs w:val="24"/>
        </w:rPr>
        <w:t>o</w:t>
      </w:r>
      <w:r w:rsidR="00BE388F" w:rsidRPr="00DD2295">
        <w:rPr>
          <w:rFonts w:cs="Arial"/>
          <w:szCs w:val="24"/>
        </w:rPr>
        <w:t xml:space="preserve"> de forma clara y oportuna</w:t>
      </w:r>
      <w:r w:rsidRPr="00DD2295">
        <w:rPr>
          <w:rFonts w:cs="Arial"/>
          <w:szCs w:val="24"/>
        </w:rPr>
        <w:t>, mediante los canales que la entidad vigilada establezca con mayor capilaridad</w:t>
      </w:r>
      <w:r w:rsidR="00BE388F" w:rsidRPr="00DD2295">
        <w:rPr>
          <w:rFonts w:cs="Arial"/>
          <w:szCs w:val="24"/>
        </w:rPr>
        <w:t>.</w:t>
      </w:r>
    </w:p>
    <w:p w14:paraId="0A3D4DD9" w14:textId="00585D7E" w:rsidR="00A86CFD" w:rsidRDefault="00A86CFD" w:rsidP="00B12535">
      <w:pPr>
        <w:tabs>
          <w:tab w:val="left" w:pos="284"/>
        </w:tabs>
        <w:spacing w:before="0" w:after="0"/>
        <w:rPr>
          <w:rFonts w:cs="Arial"/>
          <w:szCs w:val="24"/>
        </w:rPr>
      </w:pPr>
    </w:p>
    <w:p w14:paraId="59076A76" w14:textId="77777777" w:rsidR="00390561" w:rsidRPr="00DD2295" w:rsidRDefault="00390561" w:rsidP="00B12535">
      <w:pPr>
        <w:tabs>
          <w:tab w:val="left" w:pos="284"/>
        </w:tabs>
        <w:spacing w:before="0" w:after="0"/>
        <w:rPr>
          <w:rFonts w:cs="Arial"/>
          <w:szCs w:val="24"/>
        </w:rPr>
      </w:pPr>
    </w:p>
    <w:p w14:paraId="6CE0247E" w14:textId="77777777" w:rsidR="00EA5E61" w:rsidRPr="00DD2295" w:rsidRDefault="0050363B" w:rsidP="0050363B">
      <w:pPr>
        <w:pStyle w:val="Ttulo1"/>
        <w:numPr>
          <w:ilvl w:val="0"/>
          <w:numId w:val="0"/>
        </w:numPr>
        <w:tabs>
          <w:tab w:val="left" w:pos="284"/>
        </w:tabs>
        <w:spacing w:before="0" w:after="0"/>
        <w:rPr>
          <w:rFonts w:eastAsia="Times New Roman" w:cs="Arial"/>
          <w:szCs w:val="24"/>
        </w:rPr>
      </w:pPr>
      <w:r w:rsidRPr="00DD2295">
        <w:rPr>
          <w:rFonts w:eastAsia="Times New Roman" w:cs="Arial"/>
          <w:b/>
          <w:szCs w:val="24"/>
        </w:rPr>
        <w:lastRenderedPageBreak/>
        <w:t>TERCER</w:t>
      </w:r>
      <w:r w:rsidR="00F40671" w:rsidRPr="00DD2295">
        <w:rPr>
          <w:rFonts w:eastAsia="Times New Roman" w:cs="Arial"/>
          <w:b/>
          <w:szCs w:val="24"/>
        </w:rPr>
        <w:t>A</w:t>
      </w:r>
      <w:r w:rsidRPr="00DD2295">
        <w:rPr>
          <w:rFonts w:eastAsia="Times New Roman" w:cs="Arial"/>
          <w:szCs w:val="24"/>
        </w:rPr>
        <w:t xml:space="preserve">. </w:t>
      </w:r>
      <w:r w:rsidR="00EA5E61" w:rsidRPr="00DD2295">
        <w:rPr>
          <w:rFonts w:eastAsia="Times New Roman" w:cs="Arial"/>
          <w:szCs w:val="24"/>
        </w:rPr>
        <w:t>Fortalecer la infraestructura tecnológica</w:t>
      </w:r>
      <w:r w:rsidR="00830545" w:rsidRPr="00DD2295">
        <w:rPr>
          <w:rFonts w:eastAsia="Times New Roman" w:cs="Arial"/>
          <w:szCs w:val="24"/>
        </w:rPr>
        <w:t>, controles de ciberseguridad, capacidad de monitoreo</w:t>
      </w:r>
      <w:r w:rsidR="00EA5E61" w:rsidRPr="00DD2295">
        <w:rPr>
          <w:rFonts w:eastAsia="Times New Roman" w:cs="Arial"/>
          <w:szCs w:val="24"/>
        </w:rPr>
        <w:t xml:space="preserve"> y los canales digitales de atención a los consumidores financieros, para lo cual la entidad vigilada debe garantizar que cuenta con la capacidad necesaria para soportar el incremento de las operaciones en dichos canales.</w:t>
      </w:r>
    </w:p>
    <w:p w14:paraId="6DE4F6FC" w14:textId="77777777" w:rsidR="00565ADE" w:rsidRPr="00DD2295" w:rsidRDefault="00565ADE" w:rsidP="00565ADE">
      <w:pPr>
        <w:pStyle w:val="Ttulo1"/>
        <w:numPr>
          <w:ilvl w:val="0"/>
          <w:numId w:val="0"/>
        </w:numPr>
        <w:tabs>
          <w:tab w:val="left" w:pos="284"/>
        </w:tabs>
        <w:spacing w:before="0" w:after="0"/>
        <w:rPr>
          <w:rFonts w:eastAsia="Times New Roman" w:cs="Arial"/>
          <w:szCs w:val="24"/>
        </w:rPr>
      </w:pPr>
    </w:p>
    <w:p w14:paraId="03E417DD" w14:textId="77777777" w:rsidR="004A751D" w:rsidRPr="00DD2295" w:rsidRDefault="004A751D" w:rsidP="0032540A">
      <w:pPr>
        <w:pStyle w:val="Ttulo1"/>
        <w:numPr>
          <w:ilvl w:val="0"/>
          <w:numId w:val="0"/>
        </w:numPr>
        <w:tabs>
          <w:tab w:val="left" w:pos="284"/>
        </w:tabs>
        <w:spacing w:before="0" w:after="0"/>
        <w:rPr>
          <w:rFonts w:eastAsia="Times New Roman" w:cs="Arial"/>
          <w:szCs w:val="24"/>
        </w:rPr>
      </w:pPr>
      <w:r w:rsidRPr="00DD2295">
        <w:rPr>
          <w:rFonts w:eastAsia="Times New Roman" w:cs="Arial"/>
          <w:b/>
          <w:szCs w:val="24"/>
        </w:rPr>
        <w:t>CUART</w:t>
      </w:r>
      <w:r w:rsidR="00E8539F" w:rsidRPr="00DD2295">
        <w:rPr>
          <w:rFonts w:eastAsia="Times New Roman" w:cs="Arial"/>
          <w:b/>
          <w:szCs w:val="24"/>
        </w:rPr>
        <w:t>A</w:t>
      </w:r>
      <w:r w:rsidRPr="00DD2295">
        <w:rPr>
          <w:rFonts w:eastAsia="Times New Roman" w:cs="Arial"/>
          <w:szCs w:val="24"/>
        </w:rPr>
        <w:t>. Se considera</w:t>
      </w:r>
      <w:r w:rsidR="0032540A" w:rsidRPr="00DD2295">
        <w:rPr>
          <w:rFonts w:eastAsia="Times New Roman" w:cs="Arial"/>
          <w:szCs w:val="24"/>
        </w:rPr>
        <w:t xml:space="preserve"> práctica</w:t>
      </w:r>
      <w:r w:rsidRPr="00DD2295">
        <w:rPr>
          <w:rFonts w:eastAsia="Times New Roman" w:cs="Arial"/>
          <w:szCs w:val="24"/>
        </w:rPr>
        <w:t xml:space="preserve"> abusiva por parte de las entidades vigiladas aumentar los costos de las transacciones</w:t>
      </w:r>
      <w:r w:rsidR="0032540A" w:rsidRPr="00DD2295">
        <w:rPr>
          <w:rFonts w:eastAsia="Times New Roman" w:cs="Arial"/>
          <w:szCs w:val="24"/>
        </w:rPr>
        <w:t xml:space="preserve"> realizadas a través de canales no presenciales. Esta prohibición tiene vigencia</w:t>
      </w:r>
      <w:r w:rsidRPr="00DD2295">
        <w:rPr>
          <w:rFonts w:eastAsia="Times New Roman" w:cs="Arial"/>
          <w:szCs w:val="24"/>
        </w:rPr>
        <w:t xml:space="preserve"> durante los 120 días calendario siguientes a la expedición de la presente circular</w:t>
      </w:r>
      <w:r w:rsidR="0032540A" w:rsidRPr="00DD2295">
        <w:rPr>
          <w:rFonts w:eastAsia="Times New Roman" w:cs="Arial"/>
          <w:szCs w:val="24"/>
        </w:rPr>
        <w:t xml:space="preserve"> en atención al incremento en el volumen de las operaciones realizadas en estos canales.</w:t>
      </w:r>
    </w:p>
    <w:p w14:paraId="60742591" w14:textId="77777777" w:rsidR="0032540A" w:rsidRPr="00DD2295" w:rsidRDefault="0032540A" w:rsidP="0032540A">
      <w:pPr>
        <w:pStyle w:val="Ttulo1"/>
        <w:numPr>
          <w:ilvl w:val="0"/>
          <w:numId w:val="0"/>
        </w:numPr>
        <w:tabs>
          <w:tab w:val="left" w:pos="284"/>
        </w:tabs>
        <w:spacing w:before="0" w:after="0"/>
        <w:rPr>
          <w:rFonts w:eastAsia="Times New Roman" w:cs="Arial"/>
          <w:szCs w:val="24"/>
        </w:rPr>
      </w:pPr>
    </w:p>
    <w:p w14:paraId="62D212ED" w14:textId="77777777" w:rsidR="000264C8" w:rsidRPr="00DD2295" w:rsidRDefault="004A751D" w:rsidP="0032540A">
      <w:pPr>
        <w:pStyle w:val="Ttulo1"/>
        <w:numPr>
          <w:ilvl w:val="0"/>
          <w:numId w:val="0"/>
        </w:numPr>
        <w:tabs>
          <w:tab w:val="left" w:pos="284"/>
        </w:tabs>
        <w:spacing w:before="0" w:after="0"/>
        <w:rPr>
          <w:rFonts w:eastAsia="Times New Roman" w:cs="Arial"/>
          <w:szCs w:val="24"/>
        </w:rPr>
      </w:pPr>
      <w:r w:rsidRPr="00DD2295">
        <w:rPr>
          <w:rFonts w:eastAsia="Times New Roman" w:cs="Arial"/>
          <w:b/>
          <w:szCs w:val="24"/>
        </w:rPr>
        <w:t>QUINTA</w:t>
      </w:r>
      <w:r w:rsidRPr="00DD2295">
        <w:rPr>
          <w:rFonts w:eastAsia="Times New Roman" w:cs="Arial"/>
          <w:szCs w:val="24"/>
        </w:rPr>
        <w:t>.</w:t>
      </w:r>
      <w:r w:rsidR="000264C8" w:rsidRPr="00DD2295">
        <w:rPr>
          <w:rFonts w:eastAsia="Times New Roman" w:cs="Arial"/>
          <w:szCs w:val="24"/>
        </w:rPr>
        <w:t xml:space="preserve"> L</w:t>
      </w:r>
      <w:r w:rsidR="00F9562C" w:rsidRPr="00DD2295">
        <w:rPr>
          <w:rFonts w:eastAsia="Times New Roman" w:cs="Arial"/>
          <w:szCs w:val="24"/>
        </w:rPr>
        <w:t>as entidades vigiladas debe</w:t>
      </w:r>
      <w:r w:rsidR="000264C8" w:rsidRPr="00DD2295">
        <w:rPr>
          <w:rFonts w:eastAsia="Times New Roman" w:cs="Arial"/>
          <w:szCs w:val="24"/>
        </w:rPr>
        <w:t>n</w:t>
      </w:r>
      <w:r w:rsidR="00184DE4" w:rsidRPr="00DD2295">
        <w:rPr>
          <w:rFonts w:eastAsia="Times New Roman" w:cs="Arial"/>
          <w:szCs w:val="24"/>
        </w:rPr>
        <w:t xml:space="preserve"> evaluar el </w:t>
      </w:r>
      <w:r w:rsidR="00F9562C" w:rsidRPr="00DD2295">
        <w:rPr>
          <w:rFonts w:eastAsia="Times New Roman" w:cs="Arial"/>
          <w:szCs w:val="24"/>
        </w:rPr>
        <w:t>increment</w:t>
      </w:r>
      <w:r w:rsidR="00184DE4" w:rsidRPr="00DD2295">
        <w:rPr>
          <w:rFonts w:eastAsia="Times New Roman" w:cs="Arial"/>
          <w:szCs w:val="24"/>
        </w:rPr>
        <w:t>o de</w:t>
      </w:r>
      <w:r w:rsidR="00F9562C" w:rsidRPr="00DD2295">
        <w:rPr>
          <w:rFonts w:eastAsia="Times New Roman" w:cs="Arial"/>
          <w:szCs w:val="24"/>
        </w:rPr>
        <w:t xml:space="preserve"> los montos transaccionales de</w:t>
      </w:r>
      <w:r w:rsidRPr="00DD2295">
        <w:rPr>
          <w:rFonts w:eastAsia="Times New Roman" w:cs="Arial"/>
          <w:szCs w:val="24"/>
        </w:rPr>
        <w:t xml:space="preserve"> las operaciones</w:t>
      </w:r>
      <w:r w:rsidR="00184DE4" w:rsidRPr="00DD2295">
        <w:rPr>
          <w:rFonts w:eastAsia="Times New Roman" w:cs="Arial"/>
          <w:szCs w:val="24"/>
        </w:rPr>
        <w:t xml:space="preserve"> realizadas a través de canales no presenciales</w:t>
      </w:r>
      <w:r w:rsidR="00855A49" w:rsidRPr="00DD2295">
        <w:rPr>
          <w:rFonts w:eastAsia="Times New Roman" w:cs="Arial"/>
          <w:szCs w:val="24"/>
        </w:rPr>
        <w:t xml:space="preserve"> conservando los niveles de seguridad</w:t>
      </w:r>
      <w:r w:rsidR="00184DE4" w:rsidRPr="00DD2295">
        <w:rPr>
          <w:rFonts w:eastAsia="Times New Roman" w:cs="Arial"/>
          <w:szCs w:val="24"/>
        </w:rPr>
        <w:t xml:space="preserve">, teniendo en cuenta el </w:t>
      </w:r>
      <w:r w:rsidR="00F9562C" w:rsidRPr="00DD2295">
        <w:rPr>
          <w:rFonts w:eastAsia="Times New Roman" w:cs="Arial"/>
          <w:szCs w:val="24"/>
        </w:rPr>
        <w:t xml:space="preserve">análisis de </w:t>
      </w:r>
      <w:r w:rsidR="000264C8" w:rsidRPr="00DD2295">
        <w:rPr>
          <w:rFonts w:eastAsia="Times New Roman" w:cs="Arial"/>
          <w:szCs w:val="24"/>
        </w:rPr>
        <w:t>riesgo</w:t>
      </w:r>
      <w:r w:rsidR="0052489C" w:rsidRPr="00DD2295">
        <w:rPr>
          <w:rFonts w:eastAsia="Times New Roman" w:cs="Arial"/>
          <w:szCs w:val="24"/>
        </w:rPr>
        <w:t xml:space="preserve"> para cada operación </w:t>
      </w:r>
      <w:r w:rsidR="00F542DC" w:rsidRPr="00DD2295">
        <w:rPr>
          <w:rFonts w:eastAsia="Times New Roman" w:cs="Arial"/>
          <w:szCs w:val="24"/>
        </w:rPr>
        <w:t>y el</w:t>
      </w:r>
      <w:r w:rsidR="00F9562C" w:rsidRPr="00DD2295">
        <w:rPr>
          <w:rFonts w:eastAsia="Times New Roman" w:cs="Arial"/>
          <w:szCs w:val="24"/>
        </w:rPr>
        <w:t xml:space="preserve"> perfil</w:t>
      </w:r>
      <w:r w:rsidR="00184DE4" w:rsidRPr="00DD2295">
        <w:rPr>
          <w:rFonts w:eastAsia="Times New Roman" w:cs="Arial"/>
          <w:szCs w:val="24"/>
        </w:rPr>
        <w:t xml:space="preserve"> transaccional de los consumidores financieros</w:t>
      </w:r>
      <w:r w:rsidR="000264C8" w:rsidRPr="00DD2295">
        <w:rPr>
          <w:rFonts w:eastAsia="Times New Roman" w:cs="Arial"/>
          <w:szCs w:val="24"/>
        </w:rPr>
        <w:t>, dada la coyuntura</w:t>
      </w:r>
      <w:r w:rsidR="00657BB3" w:rsidRPr="00DD2295">
        <w:rPr>
          <w:rFonts w:eastAsia="Times New Roman" w:cs="Arial"/>
          <w:szCs w:val="24"/>
        </w:rPr>
        <w:t>,</w:t>
      </w:r>
      <w:r w:rsidR="000264C8" w:rsidRPr="00DD2295">
        <w:rPr>
          <w:rFonts w:eastAsia="Times New Roman" w:cs="Arial"/>
          <w:szCs w:val="24"/>
        </w:rPr>
        <w:t xml:space="preserve"> durante los 120 días calendario siguientes a la expedición de la presente circular.</w:t>
      </w:r>
    </w:p>
    <w:p w14:paraId="302CF37A" w14:textId="77777777" w:rsidR="0050363B" w:rsidRPr="00DD2295" w:rsidRDefault="0050363B" w:rsidP="0050363B">
      <w:pPr>
        <w:pStyle w:val="Ttulo1"/>
        <w:numPr>
          <w:ilvl w:val="0"/>
          <w:numId w:val="0"/>
        </w:numPr>
        <w:tabs>
          <w:tab w:val="left" w:pos="284"/>
        </w:tabs>
        <w:spacing w:before="0" w:after="0"/>
        <w:rPr>
          <w:rFonts w:eastAsia="Times New Roman" w:cs="Arial"/>
          <w:szCs w:val="24"/>
        </w:rPr>
      </w:pPr>
    </w:p>
    <w:p w14:paraId="47855FF1" w14:textId="77777777" w:rsidR="0074107F" w:rsidRPr="00DD2295" w:rsidRDefault="004A751D" w:rsidP="0050363B">
      <w:pPr>
        <w:pStyle w:val="Ttulo1"/>
        <w:numPr>
          <w:ilvl w:val="0"/>
          <w:numId w:val="0"/>
        </w:numPr>
        <w:tabs>
          <w:tab w:val="left" w:pos="284"/>
        </w:tabs>
        <w:spacing w:before="0" w:after="0"/>
        <w:rPr>
          <w:rFonts w:eastAsia="Times New Roman" w:cs="Arial"/>
          <w:szCs w:val="24"/>
        </w:rPr>
      </w:pPr>
      <w:r w:rsidRPr="00DD2295">
        <w:rPr>
          <w:rFonts w:eastAsia="Times New Roman" w:cs="Arial"/>
          <w:b/>
          <w:bCs/>
          <w:szCs w:val="24"/>
        </w:rPr>
        <w:t>SEXTA</w:t>
      </w:r>
      <w:r w:rsidR="0050363B" w:rsidRPr="00DD2295">
        <w:rPr>
          <w:rFonts w:eastAsia="Times New Roman" w:cs="Arial"/>
          <w:b/>
          <w:bCs/>
          <w:szCs w:val="24"/>
        </w:rPr>
        <w:t xml:space="preserve">. </w:t>
      </w:r>
      <w:r w:rsidR="0074107F" w:rsidRPr="00DD2295">
        <w:rPr>
          <w:rFonts w:eastAsia="Times New Roman" w:cs="Arial"/>
          <w:szCs w:val="24"/>
        </w:rPr>
        <w:t xml:space="preserve">Informar a la Superintendencia a través del correo electrónico </w:t>
      </w:r>
      <w:hyperlink r:id="rId12" w:history="1">
        <w:r w:rsidR="0074107F" w:rsidRPr="00DD2295">
          <w:rPr>
            <w:rStyle w:val="Hipervnculo"/>
            <w:rFonts w:eastAsia="Times New Roman" w:cs="Arial"/>
            <w:bCs/>
            <w:szCs w:val="24"/>
          </w:rPr>
          <w:t>riesgooperativo@superfinanciera.gov.co</w:t>
        </w:r>
      </w:hyperlink>
      <w:r w:rsidR="0074107F" w:rsidRPr="00DD2295">
        <w:rPr>
          <w:rFonts w:eastAsia="Times New Roman" w:cs="Arial"/>
          <w:szCs w:val="24"/>
        </w:rPr>
        <w:t xml:space="preserve"> sobre la materialización de los riesgos que afecten la implementación del plan de continuidad el plan de acción y por tanto que impacten significativamente la prestación del servicio.</w:t>
      </w:r>
    </w:p>
    <w:p w14:paraId="62BE8B79" w14:textId="77777777" w:rsidR="001F07E5" w:rsidRPr="00DD2295" w:rsidRDefault="001F07E5" w:rsidP="00B12535">
      <w:pPr>
        <w:tabs>
          <w:tab w:val="left" w:pos="284"/>
        </w:tabs>
        <w:spacing w:before="0" w:after="0"/>
        <w:rPr>
          <w:rFonts w:cs="Arial"/>
          <w:szCs w:val="24"/>
        </w:rPr>
      </w:pPr>
    </w:p>
    <w:p w14:paraId="42F98284" w14:textId="77777777" w:rsidR="00BE388F" w:rsidRPr="00DD2295" w:rsidRDefault="004A751D" w:rsidP="0050363B">
      <w:pPr>
        <w:pStyle w:val="Ttulo1"/>
        <w:numPr>
          <w:ilvl w:val="0"/>
          <w:numId w:val="0"/>
        </w:numPr>
        <w:tabs>
          <w:tab w:val="left" w:pos="284"/>
        </w:tabs>
        <w:spacing w:before="0" w:after="0"/>
        <w:rPr>
          <w:rFonts w:cs="Arial"/>
          <w:bCs/>
          <w:color w:val="000000" w:themeColor="text1"/>
          <w:szCs w:val="24"/>
        </w:rPr>
      </w:pPr>
      <w:r w:rsidRPr="00DD2295">
        <w:rPr>
          <w:rFonts w:cs="Arial"/>
          <w:b/>
          <w:bCs/>
          <w:szCs w:val="24"/>
        </w:rPr>
        <w:t>SEPTIMA</w:t>
      </w:r>
      <w:r w:rsidR="0050363B" w:rsidRPr="00DD2295">
        <w:rPr>
          <w:rFonts w:cs="Arial"/>
          <w:b/>
          <w:bCs/>
          <w:szCs w:val="24"/>
        </w:rPr>
        <w:t xml:space="preserve">. </w:t>
      </w:r>
      <w:r w:rsidR="00BE388F" w:rsidRPr="00DD2295">
        <w:rPr>
          <w:rFonts w:cs="Arial"/>
          <w:szCs w:val="24"/>
        </w:rPr>
        <w:t xml:space="preserve">Adoptar las medidas necesarias para garantizar la disponibilidad de los funcionarios, colaboradores o terceros que desempeñen funciones críticas en la entidad vigilada, así como </w:t>
      </w:r>
      <w:r w:rsidR="00BE388F" w:rsidRPr="00DD2295">
        <w:rPr>
          <w:rFonts w:cs="Arial"/>
          <w:bCs/>
          <w:color w:val="000000" w:themeColor="text1"/>
          <w:szCs w:val="24"/>
        </w:rPr>
        <w:t>verificar periódicamente la capacidad de estos para el cumplimiento de sus obligaciones. De igual forma, la entidad vigilada deberá fortalecer la estrategia de</w:t>
      </w:r>
      <w:r w:rsidR="00E8539F" w:rsidRPr="00DD2295">
        <w:rPr>
          <w:rFonts w:cs="Arial"/>
          <w:bCs/>
          <w:color w:val="000000" w:themeColor="text1"/>
          <w:szCs w:val="24"/>
        </w:rPr>
        <w:t xml:space="preserve"> trabajo en casa o trabajo remoto </w:t>
      </w:r>
      <w:r w:rsidR="00BE388F" w:rsidRPr="00DD2295">
        <w:rPr>
          <w:rFonts w:cs="Arial"/>
          <w:bCs/>
          <w:color w:val="000000" w:themeColor="text1"/>
          <w:szCs w:val="24"/>
        </w:rPr>
        <w:t>a gran escala.</w:t>
      </w:r>
      <w:r w:rsidR="00FD40A4" w:rsidRPr="00DD2295">
        <w:rPr>
          <w:rFonts w:cs="Arial"/>
          <w:bCs/>
          <w:color w:val="000000" w:themeColor="text1"/>
          <w:szCs w:val="24"/>
        </w:rPr>
        <w:t xml:space="preserve"> Para los trabajadores de respaldo de funcionarios que desempeñan cargos críticos, la entidad vigilada deberá habilitar el trabajo remoto o en instalaciones diferentes a las usadas por los trabajadores principales, adoptando los controles respectivos para minimizar los riesgos derivados de operar en tales condiciones.</w:t>
      </w:r>
    </w:p>
    <w:p w14:paraId="7910C875" w14:textId="77777777" w:rsidR="001713DA" w:rsidRPr="00DD2295" w:rsidRDefault="001713DA" w:rsidP="001713DA">
      <w:pPr>
        <w:pStyle w:val="Ttulo1"/>
        <w:numPr>
          <w:ilvl w:val="0"/>
          <w:numId w:val="0"/>
        </w:numPr>
        <w:tabs>
          <w:tab w:val="left" w:pos="284"/>
        </w:tabs>
        <w:spacing w:before="0" w:after="0"/>
        <w:rPr>
          <w:rFonts w:cs="Arial"/>
          <w:szCs w:val="24"/>
        </w:rPr>
      </w:pPr>
    </w:p>
    <w:p w14:paraId="13E72DC9" w14:textId="77777777" w:rsidR="00BE388F" w:rsidRPr="00DD2295" w:rsidRDefault="004A751D" w:rsidP="001713DA">
      <w:pPr>
        <w:pStyle w:val="Ttulo1"/>
        <w:numPr>
          <w:ilvl w:val="0"/>
          <w:numId w:val="0"/>
        </w:numPr>
        <w:tabs>
          <w:tab w:val="left" w:pos="284"/>
        </w:tabs>
        <w:spacing w:before="0" w:after="0"/>
        <w:rPr>
          <w:rFonts w:cs="Arial"/>
          <w:szCs w:val="24"/>
        </w:rPr>
      </w:pPr>
      <w:r w:rsidRPr="00DD2295">
        <w:rPr>
          <w:rFonts w:cs="Arial"/>
          <w:b/>
          <w:bCs/>
          <w:szCs w:val="24"/>
        </w:rPr>
        <w:t>OCTAVA</w:t>
      </w:r>
      <w:r w:rsidR="001713DA" w:rsidRPr="00DD2295">
        <w:rPr>
          <w:rFonts w:cs="Arial"/>
          <w:b/>
          <w:bCs/>
          <w:szCs w:val="24"/>
        </w:rPr>
        <w:t xml:space="preserve">. </w:t>
      </w:r>
      <w:r w:rsidR="00BE388F" w:rsidRPr="00DD2295">
        <w:rPr>
          <w:rFonts w:cs="Arial"/>
          <w:szCs w:val="24"/>
        </w:rPr>
        <w:t>Prever posibles incrementos en el uso del efectivo y adoptar las medidas necesarias para garantizar su distribución y recolección oportuna.</w:t>
      </w:r>
    </w:p>
    <w:p w14:paraId="26D44679" w14:textId="77777777" w:rsidR="001F07E5" w:rsidRPr="00DD2295" w:rsidRDefault="001F07E5" w:rsidP="00B12535">
      <w:pPr>
        <w:tabs>
          <w:tab w:val="left" w:pos="284"/>
        </w:tabs>
        <w:spacing w:before="0" w:after="0"/>
        <w:rPr>
          <w:rFonts w:cs="Arial"/>
          <w:szCs w:val="24"/>
        </w:rPr>
      </w:pPr>
    </w:p>
    <w:p w14:paraId="38A04A41" w14:textId="77777777" w:rsidR="00387E81" w:rsidRPr="00DD2295" w:rsidRDefault="00387E81" w:rsidP="00B12535">
      <w:pPr>
        <w:tabs>
          <w:tab w:val="left" w:pos="284"/>
        </w:tabs>
        <w:spacing w:before="0" w:after="0"/>
        <w:jc w:val="both"/>
        <w:rPr>
          <w:rFonts w:cs="Arial"/>
          <w:szCs w:val="24"/>
          <w:lang w:val="es-ES"/>
        </w:rPr>
      </w:pPr>
      <w:r w:rsidRPr="00DD2295">
        <w:rPr>
          <w:rFonts w:cs="Arial"/>
          <w:b/>
          <w:szCs w:val="24"/>
          <w:lang w:val="es-ES"/>
        </w:rPr>
        <w:t>Medidas tendientes a mantener la a</w:t>
      </w:r>
      <w:r w:rsidR="00360F5F" w:rsidRPr="00DD2295">
        <w:rPr>
          <w:rFonts w:cs="Arial"/>
          <w:b/>
          <w:szCs w:val="24"/>
          <w:lang w:val="es-ES"/>
        </w:rPr>
        <w:t>tención al público.</w:t>
      </w:r>
      <w:r w:rsidR="00360F5F" w:rsidRPr="00DD2295">
        <w:rPr>
          <w:rFonts w:cs="Arial"/>
          <w:szCs w:val="24"/>
          <w:lang w:val="es-ES"/>
        </w:rPr>
        <w:t xml:space="preserve"> </w:t>
      </w:r>
    </w:p>
    <w:p w14:paraId="784D5F39" w14:textId="77777777" w:rsidR="00387E81" w:rsidRPr="00DD2295" w:rsidRDefault="00387E81" w:rsidP="00B12535">
      <w:pPr>
        <w:tabs>
          <w:tab w:val="left" w:pos="284"/>
        </w:tabs>
        <w:spacing w:before="0" w:after="0"/>
        <w:jc w:val="both"/>
        <w:rPr>
          <w:rFonts w:cs="Arial"/>
          <w:szCs w:val="24"/>
          <w:lang w:val="es-ES"/>
        </w:rPr>
      </w:pPr>
    </w:p>
    <w:p w14:paraId="4B4B1613" w14:textId="77777777" w:rsidR="00360F5F" w:rsidRPr="00DD2295" w:rsidRDefault="004A751D" w:rsidP="00B12535">
      <w:pPr>
        <w:tabs>
          <w:tab w:val="left" w:pos="284"/>
        </w:tabs>
        <w:spacing w:before="0" w:after="0"/>
        <w:jc w:val="both"/>
        <w:rPr>
          <w:rFonts w:cs="Arial"/>
          <w:szCs w:val="24"/>
          <w:lang w:val="es-CO"/>
        </w:rPr>
      </w:pPr>
      <w:r w:rsidRPr="00DD2295">
        <w:rPr>
          <w:rFonts w:cs="Arial"/>
          <w:b/>
          <w:bCs/>
          <w:szCs w:val="24"/>
          <w:lang w:val="es-CO"/>
        </w:rPr>
        <w:t>NOVENA</w:t>
      </w:r>
      <w:r w:rsidR="00CE199E" w:rsidRPr="00DD2295">
        <w:rPr>
          <w:rFonts w:cs="Arial"/>
          <w:b/>
          <w:bCs/>
          <w:szCs w:val="24"/>
          <w:lang w:val="es-CO"/>
        </w:rPr>
        <w:t>.</w:t>
      </w:r>
      <w:r w:rsidR="00CE199E" w:rsidRPr="00DD2295">
        <w:rPr>
          <w:rFonts w:cs="Arial"/>
          <w:szCs w:val="24"/>
          <w:lang w:val="es-CO"/>
        </w:rPr>
        <w:t xml:space="preserve"> </w:t>
      </w:r>
      <w:r w:rsidR="00000C5F" w:rsidRPr="00DD2295">
        <w:rPr>
          <w:rFonts w:cs="Arial"/>
          <w:szCs w:val="24"/>
          <w:lang w:val="es-CO"/>
        </w:rPr>
        <w:t>L</w:t>
      </w:r>
      <w:r w:rsidR="00360F5F" w:rsidRPr="00DD2295">
        <w:rPr>
          <w:rFonts w:cs="Arial"/>
          <w:szCs w:val="24"/>
          <w:lang w:val="es-CO"/>
        </w:rPr>
        <w:t xml:space="preserve">as entidades </w:t>
      </w:r>
      <w:r w:rsidR="00000C5F" w:rsidRPr="00DD2295">
        <w:rPr>
          <w:rFonts w:cs="Arial"/>
          <w:szCs w:val="24"/>
          <w:lang w:val="es-CO"/>
        </w:rPr>
        <w:t>vigiladas deberán mantener</w:t>
      </w:r>
      <w:r w:rsidR="00000C5F" w:rsidRPr="00DD2295">
        <w:rPr>
          <w:rFonts w:cs="Arial"/>
          <w:b/>
          <w:szCs w:val="24"/>
          <w:lang w:val="es-CO"/>
        </w:rPr>
        <w:t xml:space="preserve"> </w:t>
      </w:r>
      <w:r w:rsidR="00360F5F" w:rsidRPr="00DD2295">
        <w:rPr>
          <w:rFonts w:cs="Arial"/>
          <w:szCs w:val="24"/>
          <w:lang w:val="es-CO"/>
        </w:rPr>
        <w:t>la prestación del servicio en las oficinas, siempre y cuando las condiciones así lo permitan. Así mismo deberán informar al público los canales disponibles para la prestación del servicio garantizando su continuidad. En caso de ser necesario el uso de la red bancaria no propia las entidades deberán considerar el no cobro de este servicio a los afectados.</w:t>
      </w:r>
    </w:p>
    <w:p w14:paraId="1A9AC739" w14:textId="77777777" w:rsidR="000C1CA2" w:rsidRPr="00DD2295" w:rsidRDefault="000C1CA2" w:rsidP="00B12535">
      <w:pPr>
        <w:tabs>
          <w:tab w:val="left" w:pos="284"/>
        </w:tabs>
        <w:spacing w:before="0" w:after="0"/>
        <w:jc w:val="both"/>
        <w:rPr>
          <w:rFonts w:cs="Arial"/>
          <w:szCs w:val="24"/>
          <w:lang w:val="es-CO"/>
        </w:rPr>
      </w:pPr>
    </w:p>
    <w:p w14:paraId="3ED993E6" w14:textId="77777777" w:rsidR="00E17D2A" w:rsidRPr="00DD2295" w:rsidRDefault="004A751D" w:rsidP="00B12535">
      <w:pPr>
        <w:pStyle w:val="Ttulo1"/>
        <w:numPr>
          <w:ilvl w:val="0"/>
          <w:numId w:val="0"/>
        </w:numPr>
        <w:tabs>
          <w:tab w:val="left" w:pos="284"/>
        </w:tabs>
        <w:spacing w:before="0" w:after="0"/>
        <w:rPr>
          <w:rFonts w:cs="Arial"/>
          <w:szCs w:val="24"/>
          <w:shd w:val="clear" w:color="auto" w:fill="FFFFFF"/>
        </w:rPr>
      </w:pPr>
      <w:r w:rsidRPr="00DD2295">
        <w:rPr>
          <w:rFonts w:cs="Arial"/>
          <w:b/>
          <w:bCs/>
          <w:szCs w:val="24"/>
          <w:lang w:val="es-CO"/>
        </w:rPr>
        <w:t>DECIMA</w:t>
      </w:r>
      <w:r w:rsidR="00CE199E" w:rsidRPr="00DD2295">
        <w:rPr>
          <w:rFonts w:cs="Arial"/>
          <w:b/>
          <w:bCs/>
          <w:szCs w:val="24"/>
          <w:lang w:val="es-CO"/>
        </w:rPr>
        <w:t>.</w:t>
      </w:r>
      <w:r w:rsidR="00CE199E" w:rsidRPr="00DD2295">
        <w:rPr>
          <w:rFonts w:cs="Arial"/>
          <w:szCs w:val="24"/>
          <w:lang w:val="es-CO"/>
        </w:rPr>
        <w:t xml:space="preserve"> </w:t>
      </w:r>
      <w:r w:rsidR="00E17D2A" w:rsidRPr="00DD2295">
        <w:rPr>
          <w:rFonts w:cs="Arial"/>
          <w:szCs w:val="24"/>
          <w:shd w:val="clear" w:color="auto" w:fill="FFFFFF"/>
        </w:rPr>
        <w:t>Las entidades que modifiquen horarios de atención al público deben informar a sus consumidores sobre dicho cambio</w:t>
      </w:r>
      <w:r w:rsidR="00000C5F" w:rsidRPr="00DD2295">
        <w:rPr>
          <w:rFonts w:cs="Arial"/>
          <w:szCs w:val="24"/>
          <w:shd w:val="clear" w:color="auto" w:fill="FFFFFF"/>
        </w:rPr>
        <w:t xml:space="preserve"> </w:t>
      </w:r>
      <w:r w:rsidR="00000C5F" w:rsidRPr="00DD2295">
        <w:rPr>
          <w:rFonts w:cs="Arial"/>
          <w:szCs w:val="24"/>
        </w:rPr>
        <w:t>mediante los canales que la entidad vigilada establezca con mayor capilaridad.</w:t>
      </w:r>
    </w:p>
    <w:p w14:paraId="3C0BAF41" w14:textId="77777777" w:rsidR="00B12535" w:rsidRPr="00DD2295" w:rsidRDefault="00B12535" w:rsidP="00B12535">
      <w:pPr>
        <w:spacing w:before="0" w:after="0"/>
        <w:rPr>
          <w:rFonts w:cs="Arial"/>
          <w:szCs w:val="24"/>
        </w:rPr>
      </w:pPr>
    </w:p>
    <w:p w14:paraId="274F1C25" w14:textId="77777777" w:rsidR="00E17D2A" w:rsidRPr="00DD2295" w:rsidRDefault="004A751D" w:rsidP="00B12535">
      <w:pPr>
        <w:pStyle w:val="Ttulo1"/>
        <w:numPr>
          <w:ilvl w:val="0"/>
          <w:numId w:val="0"/>
        </w:numPr>
        <w:tabs>
          <w:tab w:val="left" w:pos="284"/>
        </w:tabs>
        <w:spacing w:before="0" w:after="0"/>
        <w:rPr>
          <w:rFonts w:cs="Arial"/>
          <w:szCs w:val="24"/>
          <w:shd w:val="clear" w:color="auto" w:fill="FFFFFF"/>
        </w:rPr>
      </w:pPr>
      <w:r w:rsidRPr="00DD2295">
        <w:rPr>
          <w:rFonts w:cs="Arial"/>
          <w:b/>
          <w:bCs/>
          <w:szCs w:val="24"/>
          <w:lang w:val="es-CO"/>
        </w:rPr>
        <w:t>DECIMAPRIMERA</w:t>
      </w:r>
      <w:r w:rsidR="00CE199E" w:rsidRPr="00DD2295">
        <w:rPr>
          <w:rFonts w:cs="Arial"/>
          <w:b/>
          <w:bCs/>
          <w:szCs w:val="24"/>
          <w:lang w:val="es-CO"/>
        </w:rPr>
        <w:t>.</w:t>
      </w:r>
      <w:r w:rsidR="00CE199E" w:rsidRPr="00DD2295">
        <w:rPr>
          <w:rFonts w:cs="Arial"/>
          <w:szCs w:val="24"/>
          <w:lang w:val="es-CO"/>
        </w:rPr>
        <w:t xml:space="preserve"> </w:t>
      </w:r>
      <w:r w:rsidR="00E17D2A" w:rsidRPr="00DD2295">
        <w:rPr>
          <w:rFonts w:cs="Arial"/>
          <w:szCs w:val="24"/>
          <w:shd w:val="clear" w:color="auto" w:fill="FFFFFF"/>
        </w:rPr>
        <w:t>Las entidades vigiladas deben adoptar las medidas necesarias para reducir el tiempo de permanencia de los consumidores financieros cuando requieran acercarse a los diferentes puntos de atención</w:t>
      </w:r>
      <w:r w:rsidR="00CE199E" w:rsidRPr="00DD2295">
        <w:rPr>
          <w:rFonts w:cs="Arial"/>
          <w:szCs w:val="24"/>
          <w:shd w:val="clear" w:color="auto" w:fill="FFFFFF"/>
        </w:rPr>
        <w:t xml:space="preserve">, así mismo deberán establecer mecanismos para evitar aglomeraciones en los puntos de atención al cliente, en línea como mínimo con las disposiciones </w:t>
      </w:r>
      <w:r w:rsidR="00E8539F" w:rsidRPr="00DD2295">
        <w:rPr>
          <w:rFonts w:cs="Arial"/>
          <w:szCs w:val="24"/>
          <w:shd w:val="clear" w:color="auto" w:fill="FFFFFF"/>
        </w:rPr>
        <w:t xml:space="preserve">que establezcan </w:t>
      </w:r>
      <w:r w:rsidR="00CE199E" w:rsidRPr="00DD2295">
        <w:rPr>
          <w:rFonts w:cs="Arial"/>
          <w:szCs w:val="24"/>
          <w:shd w:val="clear" w:color="auto" w:fill="FFFFFF"/>
        </w:rPr>
        <w:t xml:space="preserve">las autoridades. </w:t>
      </w:r>
    </w:p>
    <w:p w14:paraId="20F76E84" w14:textId="77777777" w:rsidR="00CE62BA" w:rsidRPr="00DD2295" w:rsidRDefault="00CE62BA" w:rsidP="00B12535">
      <w:pPr>
        <w:tabs>
          <w:tab w:val="left" w:pos="284"/>
        </w:tabs>
        <w:spacing w:before="0" w:after="0"/>
        <w:jc w:val="both"/>
        <w:rPr>
          <w:rFonts w:cs="Arial"/>
          <w:b/>
          <w:szCs w:val="24"/>
          <w:lang w:val="es-ES"/>
        </w:rPr>
      </w:pPr>
    </w:p>
    <w:p w14:paraId="4F5784D6" w14:textId="77777777" w:rsidR="009D1BF8" w:rsidRPr="00DD2295" w:rsidRDefault="00E8539F" w:rsidP="00B12535">
      <w:pPr>
        <w:tabs>
          <w:tab w:val="left" w:pos="284"/>
        </w:tabs>
        <w:spacing w:before="0" w:after="0"/>
        <w:jc w:val="both"/>
        <w:rPr>
          <w:rFonts w:cs="Arial"/>
          <w:szCs w:val="24"/>
          <w:lang w:val="es-CO"/>
        </w:rPr>
      </w:pPr>
      <w:r w:rsidRPr="00DD2295">
        <w:rPr>
          <w:rFonts w:cs="Arial"/>
          <w:b/>
          <w:szCs w:val="24"/>
          <w:lang w:val="es-CO"/>
        </w:rPr>
        <w:lastRenderedPageBreak/>
        <w:t>DECIMA</w:t>
      </w:r>
      <w:r w:rsidR="00C66B32" w:rsidRPr="00DD2295">
        <w:rPr>
          <w:rFonts w:cs="Arial"/>
          <w:b/>
          <w:szCs w:val="24"/>
          <w:lang w:val="es-CO"/>
        </w:rPr>
        <w:t>SEGUNDA</w:t>
      </w:r>
      <w:r w:rsidR="00CB7B88" w:rsidRPr="00DD2295">
        <w:rPr>
          <w:rFonts w:cs="Arial"/>
          <w:b/>
          <w:szCs w:val="24"/>
          <w:lang w:val="es-CO"/>
        </w:rPr>
        <w:t>.</w:t>
      </w:r>
      <w:r w:rsidR="009D1BF8" w:rsidRPr="00DD2295">
        <w:rPr>
          <w:rFonts w:cs="Arial"/>
          <w:b/>
          <w:szCs w:val="24"/>
          <w:lang w:val="es-CO"/>
        </w:rPr>
        <w:t xml:space="preserve"> Entrada en vigencia.</w:t>
      </w:r>
      <w:r w:rsidR="009D1BF8" w:rsidRPr="00DD2295">
        <w:rPr>
          <w:rFonts w:cs="Arial"/>
          <w:szCs w:val="24"/>
          <w:lang w:val="es-CO"/>
        </w:rPr>
        <w:t xml:space="preserve"> </w:t>
      </w:r>
      <w:r w:rsidR="009D1BF8" w:rsidRPr="00DD2295">
        <w:rPr>
          <w:rFonts w:cs="Arial"/>
          <w:bCs/>
          <w:szCs w:val="24"/>
          <w:lang w:val="es-ES"/>
        </w:rPr>
        <w:t>La presente circular rige a partir de la fecha de su publicación y sus instrucciones estarán vigentes</w:t>
      </w:r>
      <w:r w:rsidR="00CB7B88" w:rsidRPr="00DD2295">
        <w:rPr>
          <w:rFonts w:cs="Arial"/>
          <w:bCs/>
          <w:szCs w:val="24"/>
          <w:lang w:val="es-ES"/>
        </w:rPr>
        <w:t xml:space="preserve"> </w:t>
      </w:r>
      <w:r w:rsidR="00CB7B88" w:rsidRPr="00DD2295">
        <w:rPr>
          <w:rFonts w:cs="Arial"/>
          <w:szCs w:val="24"/>
        </w:rPr>
        <w:t>durante los 120 días calendario siguientes hasta tanto la Superintendencia establezca una nueva disposición.</w:t>
      </w:r>
    </w:p>
    <w:p w14:paraId="6B8FD923" w14:textId="77777777" w:rsidR="009D1BF8" w:rsidRPr="00DD2295" w:rsidRDefault="009D1BF8" w:rsidP="00B12535">
      <w:pPr>
        <w:tabs>
          <w:tab w:val="left" w:pos="284"/>
        </w:tabs>
        <w:spacing w:before="0" w:after="0"/>
        <w:rPr>
          <w:rFonts w:cs="Arial"/>
          <w:szCs w:val="24"/>
          <w:lang w:val="es-ES"/>
        </w:rPr>
      </w:pPr>
    </w:p>
    <w:p w14:paraId="0889F3ED" w14:textId="77777777" w:rsidR="00A35DFF" w:rsidRPr="00DD2295" w:rsidRDefault="00A35DFF" w:rsidP="00B12535">
      <w:pPr>
        <w:tabs>
          <w:tab w:val="left" w:pos="284"/>
        </w:tabs>
        <w:spacing w:before="0" w:after="0"/>
        <w:jc w:val="both"/>
        <w:rPr>
          <w:rFonts w:cs="Arial"/>
          <w:bCs/>
          <w:szCs w:val="24"/>
          <w:lang w:val="es-ES"/>
        </w:rPr>
      </w:pPr>
    </w:p>
    <w:p w14:paraId="2F5F8744" w14:textId="77777777" w:rsidR="009D1BF8" w:rsidRPr="00DD2295" w:rsidRDefault="009D1BF8" w:rsidP="00B12535">
      <w:pPr>
        <w:tabs>
          <w:tab w:val="left" w:pos="284"/>
        </w:tabs>
        <w:spacing w:before="0" w:after="0"/>
        <w:jc w:val="both"/>
        <w:rPr>
          <w:rFonts w:cs="Arial"/>
          <w:bCs/>
          <w:szCs w:val="24"/>
          <w:lang w:val="es-ES"/>
        </w:rPr>
      </w:pPr>
      <w:r w:rsidRPr="00DD2295">
        <w:rPr>
          <w:rFonts w:cs="Arial"/>
          <w:bCs/>
          <w:szCs w:val="24"/>
          <w:lang w:val="es-ES"/>
        </w:rPr>
        <w:t>Cordialmente,</w:t>
      </w:r>
    </w:p>
    <w:p w14:paraId="7ED51012" w14:textId="77777777" w:rsidR="009D1BF8" w:rsidRPr="00DD2295" w:rsidRDefault="009D1BF8" w:rsidP="00B12535">
      <w:pPr>
        <w:tabs>
          <w:tab w:val="left" w:pos="284"/>
        </w:tabs>
        <w:spacing w:before="0" w:after="0"/>
        <w:jc w:val="both"/>
        <w:rPr>
          <w:rFonts w:cs="Arial"/>
          <w:bCs/>
          <w:szCs w:val="24"/>
          <w:lang w:val="es-ES"/>
        </w:rPr>
      </w:pPr>
    </w:p>
    <w:p w14:paraId="4ED6709C" w14:textId="77777777" w:rsidR="009D1BF8" w:rsidRPr="00DD2295" w:rsidRDefault="009D1BF8" w:rsidP="00B12535">
      <w:pPr>
        <w:tabs>
          <w:tab w:val="left" w:pos="284"/>
        </w:tabs>
        <w:spacing w:before="0" w:after="0"/>
        <w:jc w:val="both"/>
        <w:rPr>
          <w:rFonts w:cs="Arial"/>
          <w:bCs/>
          <w:szCs w:val="24"/>
          <w:lang w:val="es-ES"/>
        </w:rPr>
      </w:pPr>
    </w:p>
    <w:p w14:paraId="13AAE412" w14:textId="77777777" w:rsidR="00A35DFF" w:rsidRPr="00DD2295" w:rsidRDefault="00A35DFF" w:rsidP="00B12535">
      <w:pPr>
        <w:tabs>
          <w:tab w:val="left" w:pos="284"/>
        </w:tabs>
        <w:spacing w:before="0" w:after="0"/>
        <w:jc w:val="both"/>
        <w:rPr>
          <w:rFonts w:cs="Arial"/>
          <w:bCs/>
          <w:szCs w:val="24"/>
          <w:lang w:val="es-ES"/>
        </w:rPr>
      </w:pPr>
    </w:p>
    <w:p w14:paraId="1DFC4063" w14:textId="77777777" w:rsidR="009D1BF8" w:rsidRPr="00DD2295" w:rsidRDefault="009D1BF8" w:rsidP="00B12535">
      <w:pPr>
        <w:widowControl w:val="0"/>
        <w:tabs>
          <w:tab w:val="left" w:pos="284"/>
          <w:tab w:val="left" w:pos="450"/>
          <w:tab w:val="left" w:pos="1665"/>
        </w:tabs>
        <w:adjustRightInd w:val="0"/>
        <w:spacing w:before="0" w:after="0"/>
        <w:jc w:val="both"/>
        <w:rPr>
          <w:rFonts w:cs="Arial"/>
          <w:b/>
          <w:szCs w:val="24"/>
        </w:rPr>
      </w:pPr>
    </w:p>
    <w:p w14:paraId="2CBBC44D" w14:textId="77777777" w:rsidR="00EF3EE4" w:rsidRDefault="00EF3EE4" w:rsidP="00EF3EE4">
      <w:pPr>
        <w:widowControl w:val="0"/>
        <w:tabs>
          <w:tab w:val="left" w:pos="284"/>
          <w:tab w:val="left" w:pos="450"/>
          <w:tab w:val="left" w:pos="1665"/>
        </w:tabs>
        <w:adjustRightInd w:val="0"/>
        <w:spacing w:before="0" w:after="0"/>
        <w:jc w:val="both"/>
        <w:rPr>
          <w:rFonts w:cs="Arial"/>
          <w:b/>
          <w:szCs w:val="24"/>
        </w:rPr>
      </w:pPr>
      <w:bookmarkStart w:id="1" w:name="_Hlk35364043"/>
      <w:r>
        <w:rPr>
          <w:rFonts w:cs="Arial"/>
          <w:b/>
          <w:szCs w:val="24"/>
        </w:rPr>
        <w:t>JORGE CASTAÑO GUTIERREZ</w:t>
      </w:r>
    </w:p>
    <w:p w14:paraId="3A6684EE" w14:textId="77777777" w:rsidR="00EF3EE4" w:rsidRDefault="00EF3EE4" w:rsidP="00EF3EE4">
      <w:pPr>
        <w:tabs>
          <w:tab w:val="left" w:pos="284"/>
        </w:tabs>
        <w:spacing w:before="0" w:after="0"/>
        <w:ind w:right="-160"/>
        <w:outlineLvl w:val="0"/>
        <w:rPr>
          <w:rFonts w:cs="Arial"/>
          <w:szCs w:val="24"/>
        </w:rPr>
      </w:pPr>
      <w:r>
        <w:rPr>
          <w:rFonts w:cs="Arial"/>
          <w:szCs w:val="24"/>
        </w:rPr>
        <w:t xml:space="preserve">Superintendente Financiero de Colombia </w:t>
      </w:r>
    </w:p>
    <w:p w14:paraId="0A0678D4" w14:textId="77777777" w:rsidR="00EF3EE4" w:rsidRDefault="00EF3EE4" w:rsidP="00EF3EE4">
      <w:pPr>
        <w:pStyle w:val="Sinespaciado"/>
        <w:rPr>
          <w:lang w:val="es-ES"/>
        </w:rPr>
      </w:pPr>
      <w:r>
        <w:rPr>
          <w:lang w:val="es-ES"/>
        </w:rPr>
        <w:t>50000</w:t>
      </w:r>
      <w:bookmarkEnd w:id="1"/>
    </w:p>
    <w:p w14:paraId="1AD59B68" w14:textId="77777777" w:rsidR="00B05D86" w:rsidRPr="00DD2295" w:rsidRDefault="00B05D86" w:rsidP="00BC2456">
      <w:pPr>
        <w:tabs>
          <w:tab w:val="left" w:pos="284"/>
        </w:tabs>
        <w:spacing w:before="0" w:after="0"/>
        <w:ind w:right="-160"/>
        <w:outlineLvl w:val="0"/>
        <w:rPr>
          <w:rFonts w:cs="Arial"/>
          <w:szCs w:val="24"/>
        </w:rPr>
      </w:pPr>
    </w:p>
    <w:sectPr w:rsidR="00B05D86" w:rsidRPr="00DD2295" w:rsidSect="00DD2295">
      <w:headerReference w:type="default" r:id="rId13"/>
      <w:headerReference w:type="first" r:id="rId14"/>
      <w:pgSz w:w="12242" w:h="18722" w:code="12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ED4B6" w14:textId="77777777" w:rsidR="007159B1" w:rsidRDefault="007159B1" w:rsidP="00B12535">
      <w:pPr>
        <w:spacing w:before="0" w:after="0"/>
      </w:pPr>
      <w:r>
        <w:separator/>
      </w:r>
    </w:p>
  </w:endnote>
  <w:endnote w:type="continuationSeparator" w:id="0">
    <w:p w14:paraId="537A854B" w14:textId="77777777" w:rsidR="007159B1" w:rsidRDefault="007159B1" w:rsidP="00B125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63A17" w14:textId="77777777" w:rsidR="007159B1" w:rsidRDefault="007159B1" w:rsidP="00B12535">
      <w:pPr>
        <w:spacing w:before="0" w:after="0"/>
      </w:pPr>
      <w:r>
        <w:separator/>
      </w:r>
    </w:p>
  </w:footnote>
  <w:footnote w:type="continuationSeparator" w:id="0">
    <w:p w14:paraId="0A6DA780" w14:textId="77777777" w:rsidR="007159B1" w:rsidRDefault="007159B1" w:rsidP="00B125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9067" w14:textId="77777777" w:rsidR="00B12535" w:rsidRDefault="00B12535" w:rsidP="00B12535">
    <w:pPr>
      <w:pStyle w:val="Encabezado"/>
      <w:jc w:val="center"/>
      <w:rPr>
        <w:rFonts w:cs="Arial"/>
        <w:b/>
        <w:szCs w:val="24"/>
      </w:rPr>
    </w:pPr>
    <w:r>
      <w:rPr>
        <w:rFonts w:cs="Arial"/>
        <w:b/>
        <w:szCs w:val="24"/>
      </w:rPr>
      <w:t>SUPERINTENDENCIA FINANCIERA DE COLOMBIA</w:t>
    </w:r>
  </w:p>
  <w:p w14:paraId="07AE7598" w14:textId="77777777" w:rsidR="00B12535" w:rsidRDefault="00B12535" w:rsidP="00B12535">
    <w:pPr>
      <w:pStyle w:val="Encabezado"/>
      <w:jc w:val="center"/>
      <w:rPr>
        <w:rFonts w:cs="Arial"/>
        <w:b/>
        <w:szCs w:val="24"/>
      </w:rPr>
    </w:pPr>
  </w:p>
  <w:p w14:paraId="4AE20835" w14:textId="5216EA53" w:rsidR="00B12535" w:rsidRDefault="00B12535" w:rsidP="00B12535">
    <w:pPr>
      <w:pStyle w:val="Encabezado"/>
      <w:tabs>
        <w:tab w:val="center" w:pos="4135"/>
        <w:tab w:val="right" w:pos="8271"/>
      </w:tabs>
      <w:rPr>
        <w:rFonts w:cs="Arial"/>
        <w:b/>
        <w:szCs w:val="24"/>
      </w:rPr>
    </w:pPr>
    <w:r w:rsidRPr="00F7283F">
      <w:rPr>
        <w:rFonts w:cs="Arial"/>
        <w:b/>
        <w:szCs w:val="24"/>
      </w:rPr>
      <w:t xml:space="preserve">Circular Externa  </w:t>
    </w:r>
    <w:r w:rsidR="00DD2295" w:rsidRPr="00DD2295">
      <w:rPr>
        <w:rFonts w:cs="Arial"/>
        <w:b/>
        <w:szCs w:val="24"/>
      </w:rPr>
      <w:t>00</w:t>
    </w:r>
    <w:r w:rsidR="000325D7">
      <w:rPr>
        <w:rFonts w:cs="Arial"/>
        <w:b/>
        <w:szCs w:val="24"/>
      </w:rPr>
      <w:t>8</w:t>
    </w:r>
    <w:r w:rsidRPr="00F7283F">
      <w:rPr>
        <w:rFonts w:cs="Arial"/>
        <w:b/>
        <w:szCs w:val="24"/>
      </w:rPr>
      <w:t xml:space="preserve">  de 20</w:t>
    </w:r>
    <w:r>
      <w:rPr>
        <w:rFonts w:cs="Arial"/>
        <w:b/>
        <w:szCs w:val="24"/>
      </w:rPr>
      <w:t xml:space="preserve">20                </w:t>
    </w:r>
    <w:r w:rsidR="00F967C6">
      <w:rPr>
        <w:rFonts w:cs="Arial"/>
        <w:b/>
        <w:szCs w:val="24"/>
      </w:rPr>
      <w:tab/>
    </w:r>
    <w:r w:rsidR="00F967C6">
      <w:rPr>
        <w:rFonts w:cs="Arial"/>
        <w:b/>
        <w:szCs w:val="24"/>
      </w:rPr>
      <w:tab/>
    </w:r>
    <w:r w:rsidR="00F967C6" w:rsidRPr="00F967C6">
      <w:rPr>
        <w:rFonts w:cs="Arial"/>
        <w:b/>
        <w:szCs w:val="24"/>
      </w:rPr>
      <w:t xml:space="preserve">Página </w:t>
    </w:r>
    <w:r w:rsidR="00F967C6" w:rsidRPr="00F967C6">
      <w:rPr>
        <w:rFonts w:cs="Arial"/>
        <w:b/>
        <w:szCs w:val="24"/>
      </w:rPr>
      <w:fldChar w:fldCharType="begin"/>
    </w:r>
    <w:r w:rsidR="00F967C6" w:rsidRPr="00F967C6">
      <w:rPr>
        <w:rFonts w:cs="Arial"/>
        <w:b/>
        <w:szCs w:val="24"/>
      </w:rPr>
      <w:instrText>PAGE   \* MERGEFORMAT</w:instrText>
    </w:r>
    <w:r w:rsidR="00F967C6" w:rsidRPr="00F967C6">
      <w:rPr>
        <w:rFonts w:cs="Arial"/>
        <w:b/>
        <w:szCs w:val="24"/>
      </w:rPr>
      <w:fldChar w:fldCharType="separate"/>
    </w:r>
    <w:r w:rsidR="00F967C6" w:rsidRPr="00F967C6">
      <w:rPr>
        <w:rFonts w:cs="Arial"/>
        <w:b/>
        <w:szCs w:val="24"/>
        <w:lang w:val="es-ES"/>
      </w:rPr>
      <w:t>1</w:t>
    </w:r>
    <w:r w:rsidR="00F967C6" w:rsidRPr="00F967C6">
      <w:rPr>
        <w:rFonts w:cs="Arial"/>
        <w:b/>
        <w:szCs w:val="24"/>
      </w:rPr>
      <w:fldChar w:fldCharType="end"/>
    </w:r>
    <w:r w:rsidR="00F967C6" w:rsidRPr="00F967C6">
      <w:rPr>
        <w:rFonts w:cs="Arial"/>
        <w:b/>
        <w:szCs w:val="24"/>
      </w:rPr>
      <w:t xml:space="preserve"> </w:t>
    </w:r>
    <w:r>
      <w:rPr>
        <w:rFonts w:cs="Arial"/>
        <w:b/>
        <w:szCs w:val="24"/>
      </w:rPr>
      <w:t xml:space="preserve">  </w:t>
    </w:r>
    <w:r w:rsidRPr="00F7283F">
      <w:rPr>
        <w:rFonts w:cs="Arial"/>
        <w:b/>
        <w:szCs w:val="24"/>
      </w:rPr>
      <w:t xml:space="preserve">                                   </w:t>
    </w:r>
    <w:r>
      <w:rPr>
        <w:rFonts w:cs="Arial"/>
        <w:b/>
        <w:szCs w:val="24"/>
      </w:rPr>
      <w:t xml:space="preserve">        </w:t>
    </w:r>
  </w:p>
  <w:p w14:paraId="5C61B7BD" w14:textId="77777777" w:rsidR="00F967C6" w:rsidRPr="00AE07F1" w:rsidRDefault="00F967C6" w:rsidP="00B12535">
    <w:pPr>
      <w:pStyle w:val="Encabezado"/>
      <w:tabs>
        <w:tab w:val="center" w:pos="4135"/>
        <w:tab w:val="right" w:pos="8271"/>
      </w:tabs>
      <w:rPr>
        <w:rFonts w:cs="Arial"/>
        <w:b/>
        <w:bCs/>
        <w:sz w:val="22"/>
        <w:szCs w:val="22"/>
      </w:rPr>
    </w:pPr>
  </w:p>
  <w:p w14:paraId="2BD2A960" w14:textId="77777777" w:rsidR="00B12535" w:rsidRDefault="00B12535" w:rsidP="00B12535">
    <w:pPr>
      <w:pStyle w:val="Encabezado"/>
      <w:jc w:val="center"/>
      <w:rPr>
        <w:rFonts w:cs="Arial"/>
        <w:b/>
        <w:szCs w:val="24"/>
      </w:rPr>
    </w:pPr>
  </w:p>
  <w:p w14:paraId="4BB887F0" w14:textId="77777777" w:rsidR="00B12535" w:rsidRDefault="00B125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562C" w14:textId="77777777" w:rsidR="00E90EA1" w:rsidRDefault="00E90EA1" w:rsidP="00E90EA1">
    <w:pPr>
      <w:pStyle w:val="Encabezado"/>
      <w:jc w:val="center"/>
      <w:rPr>
        <w:rFonts w:cs="Arial"/>
        <w:b/>
        <w:szCs w:val="24"/>
      </w:rPr>
    </w:pPr>
    <w:r>
      <w:rPr>
        <w:rFonts w:cs="Arial"/>
        <w:b/>
        <w:szCs w:val="24"/>
      </w:rPr>
      <w:t>SUPERINTENDENCIA FINANCIERA DE COLOMBIA</w:t>
    </w:r>
  </w:p>
  <w:p w14:paraId="7E68966C" w14:textId="77777777" w:rsidR="00E90EA1" w:rsidRDefault="00E90E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54613"/>
    <w:multiLevelType w:val="multilevel"/>
    <w:tmpl w:val="5606909E"/>
    <w:lvl w:ilvl="0">
      <w:start w:val="1"/>
      <w:numFmt w:val="decimal"/>
      <w:pStyle w:val="Ttulo1"/>
      <w:lvlText w:val="%1."/>
      <w:lvlJc w:val="left"/>
      <w:pPr>
        <w:tabs>
          <w:tab w:val="num" w:pos="709"/>
        </w:tabs>
        <w:ind w:left="0" w:firstLine="0"/>
      </w:pPr>
      <w:rPr>
        <w:rFonts w:hint="default"/>
        <w:b w:val="0"/>
        <w:bCs/>
      </w:rPr>
    </w:lvl>
    <w:lvl w:ilvl="1">
      <w:start w:val="1"/>
      <w:numFmt w:val="lowerLetter"/>
      <w:pStyle w:val="Ttulo2"/>
      <w:lvlText w:val="%2)"/>
      <w:lvlJc w:val="left"/>
      <w:pPr>
        <w:tabs>
          <w:tab w:val="num" w:pos="1276"/>
        </w:tabs>
        <w:ind w:left="0" w:firstLine="709"/>
      </w:pPr>
      <w:rPr>
        <w:rFonts w:hint="default"/>
      </w:rPr>
    </w:lvl>
    <w:lvl w:ilvl="2">
      <w:start w:val="1"/>
      <w:numFmt w:val="lowerRoman"/>
      <w:pStyle w:val="Ttulo3"/>
      <w:lvlText w:val="%3)"/>
      <w:lvlJc w:val="left"/>
      <w:pPr>
        <w:tabs>
          <w:tab w:val="num" w:pos="1985"/>
        </w:tabs>
        <w:ind w:left="709"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03C3855"/>
    <w:multiLevelType w:val="hybridMultilevel"/>
    <w:tmpl w:val="342CCEB6"/>
    <w:lvl w:ilvl="0" w:tplc="80FE0A9A">
      <w:start w:val="1"/>
      <w:numFmt w:val="decimal"/>
      <w:lvlText w:val="%1."/>
      <w:lvlJc w:val="left"/>
      <w:pPr>
        <w:ind w:left="720" w:hanging="360"/>
      </w:pPr>
      <w:rPr>
        <w:rFonts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7F"/>
    <w:rsid w:val="00000C5F"/>
    <w:rsid w:val="00002808"/>
    <w:rsid w:val="00013A89"/>
    <w:rsid w:val="000264C8"/>
    <w:rsid w:val="000325D7"/>
    <w:rsid w:val="00033A65"/>
    <w:rsid w:val="000A1963"/>
    <w:rsid w:val="000A294E"/>
    <w:rsid w:val="000A7AF9"/>
    <w:rsid w:val="000B06BE"/>
    <w:rsid w:val="000C1CA2"/>
    <w:rsid w:val="000C71BF"/>
    <w:rsid w:val="001069CE"/>
    <w:rsid w:val="00120A3E"/>
    <w:rsid w:val="00133503"/>
    <w:rsid w:val="001713DA"/>
    <w:rsid w:val="00184DE4"/>
    <w:rsid w:val="001D5D25"/>
    <w:rsid w:val="001F07E5"/>
    <w:rsid w:val="002231B2"/>
    <w:rsid w:val="0032540A"/>
    <w:rsid w:val="00360F5F"/>
    <w:rsid w:val="00387E81"/>
    <w:rsid w:val="00390561"/>
    <w:rsid w:val="003B5D50"/>
    <w:rsid w:val="003E15D6"/>
    <w:rsid w:val="0040167D"/>
    <w:rsid w:val="00406602"/>
    <w:rsid w:val="0041064A"/>
    <w:rsid w:val="004209F9"/>
    <w:rsid w:val="0046410E"/>
    <w:rsid w:val="004A751D"/>
    <w:rsid w:val="0050363B"/>
    <w:rsid w:val="0052489C"/>
    <w:rsid w:val="00565ADE"/>
    <w:rsid w:val="00592D37"/>
    <w:rsid w:val="005D1529"/>
    <w:rsid w:val="00657BB3"/>
    <w:rsid w:val="006C395C"/>
    <w:rsid w:val="006E4E81"/>
    <w:rsid w:val="00703AD9"/>
    <w:rsid w:val="0070710F"/>
    <w:rsid w:val="007159B1"/>
    <w:rsid w:val="007322CD"/>
    <w:rsid w:val="0074107F"/>
    <w:rsid w:val="0079433A"/>
    <w:rsid w:val="007E4DFF"/>
    <w:rsid w:val="007F4147"/>
    <w:rsid w:val="00830545"/>
    <w:rsid w:val="00855A49"/>
    <w:rsid w:val="00891AC0"/>
    <w:rsid w:val="008E05DF"/>
    <w:rsid w:val="0094007B"/>
    <w:rsid w:val="00942B38"/>
    <w:rsid w:val="00967A42"/>
    <w:rsid w:val="009B6357"/>
    <w:rsid w:val="009D1BF8"/>
    <w:rsid w:val="009E19D9"/>
    <w:rsid w:val="00A32364"/>
    <w:rsid w:val="00A35064"/>
    <w:rsid w:val="00A35DFF"/>
    <w:rsid w:val="00A518FA"/>
    <w:rsid w:val="00A7177A"/>
    <w:rsid w:val="00A86CFD"/>
    <w:rsid w:val="00AE60D4"/>
    <w:rsid w:val="00B05D86"/>
    <w:rsid w:val="00B07DAB"/>
    <w:rsid w:val="00B12535"/>
    <w:rsid w:val="00B125CA"/>
    <w:rsid w:val="00BB25F9"/>
    <w:rsid w:val="00BC2456"/>
    <w:rsid w:val="00BD1366"/>
    <w:rsid w:val="00BE388F"/>
    <w:rsid w:val="00C66B32"/>
    <w:rsid w:val="00C76ACA"/>
    <w:rsid w:val="00C84A37"/>
    <w:rsid w:val="00CA551A"/>
    <w:rsid w:val="00CB7B88"/>
    <w:rsid w:val="00CC5511"/>
    <w:rsid w:val="00CE199E"/>
    <w:rsid w:val="00CE62BA"/>
    <w:rsid w:val="00DD2295"/>
    <w:rsid w:val="00DF69D4"/>
    <w:rsid w:val="00E17D2A"/>
    <w:rsid w:val="00E23D49"/>
    <w:rsid w:val="00E8539F"/>
    <w:rsid w:val="00E90EA1"/>
    <w:rsid w:val="00EA5E61"/>
    <w:rsid w:val="00EF3EE4"/>
    <w:rsid w:val="00F12630"/>
    <w:rsid w:val="00F3378A"/>
    <w:rsid w:val="00F40671"/>
    <w:rsid w:val="00F542DC"/>
    <w:rsid w:val="00F9562C"/>
    <w:rsid w:val="00F967C6"/>
    <w:rsid w:val="00FC6C03"/>
    <w:rsid w:val="00FD3EAB"/>
    <w:rsid w:val="00FD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842D5"/>
  <w14:defaultImageDpi w14:val="32767"/>
  <w15:chartTrackingRefBased/>
  <w15:docId w15:val="{996666FC-F48C-6A49-BB16-49BE4EBA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74107F"/>
    <w:pPr>
      <w:spacing w:before="120" w:after="120"/>
    </w:pPr>
    <w:rPr>
      <w:rFonts w:ascii="Arial" w:eastAsia="Times New Roman" w:hAnsi="Arial" w:cs="Times New Roman"/>
      <w:szCs w:val="20"/>
      <w:lang w:val="es-ES_tradnl" w:eastAsia="es-ES"/>
    </w:rPr>
  </w:style>
  <w:style w:type="paragraph" w:styleId="Ttulo1">
    <w:name w:val="heading 1"/>
    <w:basedOn w:val="Normal"/>
    <w:next w:val="Normal"/>
    <w:link w:val="Ttulo1Car"/>
    <w:uiPriority w:val="9"/>
    <w:qFormat/>
    <w:rsid w:val="0074107F"/>
    <w:pPr>
      <w:widowControl w:val="0"/>
      <w:numPr>
        <w:numId w:val="1"/>
      </w:numPr>
      <w:jc w:val="both"/>
      <w:outlineLvl w:val="0"/>
    </w:pPr>
    <w:rPr>
      <w:rFonts w:eastAsiaTheme="majorEastAsia" w:cstheme="majorBidi"/>
      <w:szCs w:val="32"/>
    </w:rPr>
  </w:style>
  <w:style w:type="paragraph" w:styleId="Ttulo2">
    <w:name w:val="heading 2"/>
    <w:basedOn w:val="Normal"/>
    <w:next w:val="Normal"/>
    <w:link w:val="Ttulo2Car"/>
    <w:uiPriority w:val="9"/>
    <w:unhideWhenUsed/>
    <w:qFormat/>
    <w:rsid w:val="0074107F"/>
    <w:pPr>
      <w:widowControl w:val="0"/>
      <w:numPr>
        <w:ilvl w:val="1"/>
        <w:numId w:val="1"/>
      </w:numPr>
      <w:jc w:val="both"/>
      <w:outlineLvl w:val="1"/>
    </w:pPr>
    <w:rPr>
      <w:rFonts w:eastAsiaTheme="majorEastAsia" w:cstheme="majorBidi"/>
      <w:szCs w:val="26"/>
    </w:rPr>
  </w:style>
  <w:style w:type="paragraph" w:styleId="Ttulo3">
    <w:name w:val="heading 3"/>
    <w:basedOn w:val="Normal"/>
    <w:next w:val="Normal"/>
    <w:link w:val="Ttulo3Car"/>
    <w:uiPriority w:val="9"/>
    <w:unhideWhenUsed/>
    <w:qFormat/>
    <w:rsid w:val="0074107F"/>
    <w:pPr>
      <w:widowControl w:val="0"/>
      <w:numPr>
        <w:ilvl w:val="2"/>
        <w:numId w:val="1"/>
      </w:numPr>
      <w:jc w:val="both"/>
      <w:outlineLvl w:val="2"/>
    </w:pPr>
    <w:rPr>
      <w:rFonts w:eastAsiaTheme="majorEastAsi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107F"/>
    <w:rPr>
      <w:rFonts w:ascii="Arial" w:eastAsiaTheme="majorEastAsia" w:hAnsi="Arial" w:cstheme="majorBidi"/>
      <w:szCs w:val="32"/>
      <w:lang w:val="es-ES_tradnl" w:eastAsia="es-ES"/>
    </w:rPr>
  </w:style>
  <w:style w:type="character" w:customStyle="1" w:styleId="Ttulo2Car">
    <w:name w:val="Título 2 Car"/>
    <w:basedOn w:val="Fuentedeprrafopredeter"/>
    <w:link w:val="Ttulo2"/>
    <w:uiPriority w:val="9"/>
    <w:rsid w:val="0074107F"/>
    <w:rPr>
      <w:rFonts w:ascii="Arial" w:eastAsiaTheme="majorEastAsia" w:hAnsi="Arial" w:cstheme="majorBidi"/>
      <w:szCs w:val="26"/>
      <w:lang w:val="es-ES_tradnl" w:eastAsia="es-ES"/>
    </w:rPr>
  </w:style>
  <w:style w:type="character" w:customStyle="1" w:styleId="Ttulo3Car">
    <w:name w:val="Título 3 Car"/>
    <w:basedOn w:val="Fuentedeprrafopredeter"/>
    <w:link w:val="Ttulo3"/>
    <w:uiPriority w:val="9"/>
    <w:rsid w:val="0074107F"/>
    <w:rPr>
      <w:rFonts w:ascii="Arial" w:eastAsiaTheme="majorEastAsia" w:hAnsi="Arial" w:cstheme="majorBidi"/>
      <w:lang w:val="es-ES_tradnl" w:eastAsia="es-ES"/>
    </w:rPr>
  </w:style>
  <w:style w:type="character" w:styleId="Hipervnculo">
    <w:name w:val="Hyperlink"/>
    <w:basedOn w:val="Fuentedeprrafopredeter"/>
    <w:uiPriority w:val="99"/>
    <w:semiHidden/>
    <w:unhideWhenUsed/>
    <w:rsid w:val="0074107F"/>
    <w:rPr>
      <w:color w:val="0563C1"/>
      <w:u w:val="single"/>
    </w:rPr>
  </w:style>
  <w:style w:type="paragraph" w:styleId="Textoindependiente">
    <w:name w:val="Body Text"/>
    <w:basedOn w:val="Normal"/>
    <w:link w:val="TextoindependienteCar"/>
    <w:rsid w:val="0074107F"/>
    <w:pPr>
      <w:jc w:val="both"/>
    </w:pPr>
    <w:rPr>
      <w:rFonts w:cs="Arial"/>
      <w:szCs w:val="24"/>
      <w:lang w:val="es-CO"/>
    </w:rPr>
  </w:style>
  <w:style w:type="character" w:customStyle="1" w:styleId="TextoindependienteCar">
    <w:name w:val="Texto independiente Car"/>
    <w:basedOn w:val="Fuentedeprrafopredeter"/>
    <w:link w:val="Textoindependiente"/>
    <w:rsid w:val="0074107F"/>
    <w:rPr>
      <w:rFonts w:ascii="Arial" w:eastAsia="Times New Roman" w:hAnsi="Arial" w:cs="Arial"/>
      <w:lang w:val="es-CO" w:eastAsia="es-ES"/>
    </w:rPr>
  </w:style>
  <w:style w:type="paragraph" w:customStyle="1" w:styleId="xmsofooter">
    <w:name w:val="x_msofooter"/>
    <w:basedOn w:val="Normal"/>
    <w:rsid w:val="000A7AF9"/>
    <w:pPr>
      <w:spacing w:before="100" w:beforeAutospacing="1" w:after="100" w:afterAutospacing="1"/>
    </w:pPr>
    <w:rPr>
      <w:rFonts w:ascii="Times New Roman" w:hAnsi="Times New Roman"/>
      <w:szCs w:val="24"/>
      <w:lang w:val="en-US" w:eastAsia="en-US"/>
    </w:rPr>
  </w:style>
  <w:style w:type="paragraph" w:customStyle="1" w:styleId="xmsolistparagraph">
    <w:name w:val="x_msolistparagraph"/>
    <w:basedOn w:val="Normal"/>
    <w:rsid w:val="000A7AF9"/>
    <w:pPr>
      <w:spacing w:before="100" w:beforeAutospacing="1" w:after="100" w:afterAutospacing="1"/>
    </w:pPr>
    <w:rPr>
      <w:rFonts w:ascii="Times New Roman" w:hAnsi="Times New Roman"/>
      <w:szCs w:val="24"/>
      <w:lang w:val="en-US" w:eastAsia="en-US"/>
    </w:rPr>
  </w:style>
  <w:style w:type="paragraph" w:styleId="Prrafodelista">
    <w:name w:val="List Paragraph"/>
    <w:basedOn w:val="Normal"/>
    <w:uiPriority w:val="34"/>
    <w:qFormat/>
    <w:rsid w:val="000B06BE"/>
    <w:pPr>
      <w:ind w:left="720"/>
      <w:contextualSpacing/>
    </w:pPr>
  </w:style>
  <w:style w:type="paragraph" w:styleId="Encabezado">
    <w:name w:val="header"/>
    <w:basedOn w:val="Normal"/>
    <w:link w:val="EncabezadoCar"/>
    <w:uiPriority w:val="99"/>
    <w:unhideWhenUsed/>
    <w:rsid w:val="00B12535"/>
    <w:pPr>
      <w:tabs>
        <w:tab w:val="center" w:pos="4419"/>
        <w:tab w:val="right" w:pos="8838"/>
      </w:tabs>
      <w:spacing w:before="0" w:after="0"/>
    </w:pPr>
  </w:style>
  <w:style w:type="character" w:customStyle="1" w:styleId="EncabezadoCar">
    <w:name w:val="Encabezado Car"/>
    <w:basedOn w:val="Fuentedeprrafopredeter"/>
    <w:link w:val="Encabezado"/>
    <w:uiPriority w:val="99"/>
    <w:rsid w:val="00B12535"/>
    <w:rPr>
      <w:rFonts w:ascii="Arial" w:eastAsia="Times New Roman" w:hAnsi="Arial" w:cs="Times New Roman"/>
      <w:szCs w:val="20"/>
      <w:lang w:val="es-ES_tradnl" w:eastAsia="es-ES"/>
    </w:rPr>
  </w:style>
  <w:style w:type="paragraph" w:styleId="Piedepgina">
    <w:name w:val="footer"/>
    <w:basedOn w:val="Normal"/>
    <w:link w:val="PiedepginaCar"/>
    <w:uiPriority w:val="99"/>
    <w:unhideWhenUsed/>
    <w:rsid w:val="00B12535"/>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B12535"/>
    <w:rPr>
      <w:rFonts w:ascii="Arial" w:eastAsia="Times New Roman" w:hAnsi="Arial" w:cs="Times New Roman"/>
      <w:szCs w:val="20"/>
      <w:lang w:val="es-ES_tradnl" w:eastAsia="es-ES"/>
    </w:rPr>
  </w:style>
  <w:style w:type="paragraph" w:styleId="Textodeglobo">
    <w:name w:val="Balloon Text"/>
    <w:basedOn w:val="Normal"/>
    <w:link w:val="TextodegloboCar"/>
    <w:uiPriority w:val="99"/>
    <w:semiHidden/>
    <w:unhideWhenUsed/>
    <w:rsid w:val="00565ADE"/>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ADE"/>
    <w:rPr>
      <w:rFonts w:ascii="Segoe UI" w:eastAsia="Times New Roman" w:hAnsi="Segoe UI" w:cs="Segoe UI"/>
      <w:sz w:val="18"/>
      <w:szCs w:val="18"/>
      <w:lang w:val="es-ES_tradnl" w:eastAsia="es-ES"/>
    </w:rPr>
  </w:style>
  <w:style w:type="paragraph" w:styleId="Sinespaciado">
    <w:name w:val="No Spacing"/>
    <w:uiPriority w:val="1"/>
    <w:qFormat/>
    <w:rsid w:val="00B05D86"/>
    <w:rPr>
      <w:rFonts w:ascii="Arial" w:eastAsia="Times New Roman" w:hAnsi="Arial"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064857">
      <w:bodyDiv w:val="1"/>
      <w:marLeft w:val="0"/>
      <w:marRight w:val="0"/>
      <w:marTop w:val="0"/>
      <w:marBottom w:val="0"/>
      <w:divBdr>
        <w:top w:val="none" w:sz="0" w:space="0" w:color="auto"/>
        <w:left w:val="none" w:sz="0" w:space="0" w:color="auto"/>
        <w:bottom w:val="none" w:sz="0" w:space="0" w:color="auto"/>
        <w:right w:val="none" w:sz="0" w:space="0" w:color="auto"/>
      </w:divBdr>
    </w:div>
    <w:div w:id="206668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esgooperativo@superfinanciera.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esgooperativo@superfinanciera.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9463A95E4AA2429A88DCA9D6A30483" ma:contentTypeVersion="0" ma:contentTypeDescription="Create a new document." ma:contentTypeScope="" ma:versionID="bdcce72b205b920513224cd9b32acd17">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804A1-3241-47CC-81EC-09E8AB51A619}">
  <ds:schemaRefs>
    <ds:schemaRef ds:uri="http://schemas.microsoft.com/sharepoint/v3/contenttype/forms"/>
  </ds:schemaRefs>
</ds:datastoreItem>
</file>

<file path=customXml/itemProps2.xml><?xml version="1.0" encoding="utf-8"?>
<ds:datastoreItem xmlns:ds="http://schemas.openxmlformats.org/officeDocument/2006/customXml" ds:itemID="{17D192FF-8A79-41B1-BD9A-BB8310B07E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EC14E-F9BE-4D1C-AFA4-2CADFF96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6656BE-DE04-4DCD-AC0D-8CF01F62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995</Words>
  <Characters>5474</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Orrego Gomez</dc:creator>
  <cp:keywords/>
  <dc:description/>
  <cp:lastModifiedBy>Gabriel Armando Ospina Garcia</cp:lastModifiedBy>
  <cp:revision>3</cp:revision>
  <cp:lastPrinted>2020-03-17T22:53:00Z</cp:lastPrinted>
  <dcterms:created xsi:type="dcterms:W3CDTF">2020-03-18T00:31:00Z</dcterms:created>
  <dcterms:modified xsi:type="dcterms:W3CDTF">2020-03-18T01:04:00Z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0x0101008B9463A95E4AA2429A88DCA9D6A30483</vt:lpwstr>
  </property>
</Properties>
</file>