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A1BF" w14:textId="77777777" w:rsidR="00625DC6" w:rsidRPr="00E060BE" w:rsidRDefault="006E7F41"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51E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10" o:title=""/>
          </v:shape>
          <o:OLEObject Type="Embed" ProgID="PBrush" ShapeID="_x0000_s2050" DrawAspect="Content" ObjectID="_1764674046" r:id="rId11"/>
        </w:object>
      </w:r>
    </w:p>
    <w:p w14:paraId="67770A74" w14:textId="77777777"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14:paraId="5CD8FDD3"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0B8E60E5"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7027F17A"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4767CFAE"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74971183"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67AC44F2" w14:textId="0179FCB6" w:rsidR="00A06511" w:rsidRPr="00E060BE" w:rsidRDefault="00A06511" w:rsidP="00A0651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ED654F" w:rsidRPr="00ED654F">
        <w:rPr>
          <w:rFonts w:ascii="Bookman Old Style" w:hAnsi="Bookman Old Style"/>
          <w:szCs w:val="28"/>
        </w:rPr>
        <w:t>701 028 DE 2023</w:t>
      </w:r>
    </w:p>
    <w:p w14:paraId="0C7D114C"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350D3C85" w14:textId="0A52FE03" w:rsidR="00CA77FB" w:rsidRPr="00ED654F" w:rsidRDefault="00CA77FB" w:rsidP="00012259">
      <w:pPr>
        <w:pStyle w:val="Ttulo3"/>
        <w:tabs>
          <w:tab w:val="left" w:pos="0"/>
          <w:tab w:val="right" w:pos="9356"/>
        </w:tabs>
        <w:ind w:left="0"/>
        <w:rPr>
          <w:rFonts w:ascii="Bookman Old Style" w:hAnsi="Bookman Old Style"/>
          <w:bCs/>
          <w:szCs w:val="24"/>
        </w:rPr>
      </w:pPr>
      <w:r w:rsidRPr="00ED654F">
        <w:rPr>
          <w:rFonts w:ascii="Bookman Old Style" w:hAnsi="Bookman Old Style"/>
          <w:bCs/>
          <w:szCs w:val="24"/>
        </w:rPr>
        <w:t>(</w:t>
      </w:r>
      <w:r w:rsidR="00ED654F" w:rsidRPr="00ED654F">
        <w:rPr>
          <w:rFonts w:ascii="Bookman Old Style" w:hAnsi="Bookman Old Style"/>
          <w:bCs/>
          <w:szCs w:val="24"/>
        </w:rPr>
        <w:t>18 DIC. 2023</w:t>
      </w:r>
      <w:r w:rsidRPr="00ED654F">
        <w:rPr>
          <w:rFonts w:ascii="Bookman Old Style" w:hAnsi="Bookman Old Style"/>
          <w:bCs/>
          <w:szCs w:val="24"/>
        </w:rPr>
        <w:t>)</w:t>
      </w:r>
    </w:p>
    <w:p w14:paraId="57D77EBA" w14:textId="77777777" w:rsidR="00CA77FB" w:rsidRPr="00E060BE" w:rsidRDefault="00CA77FB" w:rsidP="00012259">
      <w:pPr>
        <w:tabs>
          <w:tab w:val="left" w:pos="0"/>
          <w:tab w:val="right" w:pos="9356"/>
        </w:tabs>
        <w:ind w:left="0"/>
        <w:jc w:val="center"/>
        <w:rPr>
          <w:rFonts w:ascii="Bookman Old Style" w:hAnsi="Bookman Old Style"/>
          <w:lang w:val="es-ES_tradnl"/>
        </w:rPr>
      </w:pPr>
    </w:p>
    <w:p w14:paraId="7105E21D" w14:textId="0129E64D" w:rsidR="001F5C1C" w:rsidRPr="00400814" w:rsidRDefault="001F5C1C" w:rsidP="001F5C1C">
      <w:pPr>
        <w:ind w:left="0"/>
        <w:jc w:val="both"/>
        <w:rPr>
          <w:rFonts w:ascii="Bookman Old Style" w:hAnsi="Bookman Old Style"/>
        </w:rPr>
      </w:pPr>
      <w:r w:rsidRPr="00400814">
        <w:rPr>
          <w:rFonts w:ascii="Bookman Old Style" w:hAnsi="Bookman Old Style"/>
        </w:rPr>
        <w:t xml:space="preserve">La Comisión de Regulación de Energía y Gas, en su </w:t>
      </w:r>
      <w:r w:rsidRPr="00ED654F">
        <w:rPr>
          <w:rFonts w:ascii="Bookman Old Style" w:hAnsi="Bookman Old Style"/>
        </w:rPr>
        <w:t xml:space="preserve">sesión No. </w:t>
      </w:r>
      <w:r w:rsidR="00926A71" w:rsidRPr="00ED654F">
        <w:rPr>
          <w:rFonts w:ascii="Bookman Old Style" w:hAnsi="Bookman Old Style"/>
        </w:rPr>
        <w:t>1299</w:t>
      </w:r>
      <w:r w:rsidRPr="00ED654F">
        <w:rPr>
          <w:rFonts w:ascii="Bookman Old Style" w:hAnsi="Bookman Old Style"/>
        </w:rPr>
        <w:t xml:space="preserve"> del </w:t>
      </w:r>
      <w:r w:rsidR="00926A71" w:rsidRPr="00ED654F">
        <w:rPr>
          <w:rFonts w:ascii="Bookman Old Style" w:hAnsi="Bookman Old Style"/>
        </w:rPr>
        <w:t>18</w:t>
      </w:r>
      <w:r w:rsidRPr="00400814">
        <w:rPr>
          <w:rFonts w:ascii="Bookman Old Style" w:hAnsi="Bookman Old Style"/>
        </w:rPr>
        <w:t xml:space="preserve"> de </w:t>
      </w:r>
      <w:r w:rsidR="00D2162E" w:rsidRPr="00400814">
        <w:rPr>
          <w:rFonts w:ascii="Bookman Old Style" w:hAnsi="Bookman Old Style"/>
        </w:rPr>
        <w:t xml:space="preserve">diciembre </w:t>
      </w:r>
      <w:r w:rsidRPr="00400814">
        <w:rPr>
          <w:rFonts w:ascii="Bookman Old Style" w:hAnsi="Bookman Old Style"/>
        </w:rPr>
        <w:t xml:space="preserve">de 2023, aprobó someter a consulta pública el presente proyecto de resolución por el término </w:t>
      </w:r>
      <w:r w:rsidRPr="006E7F41">
        <w:rPr>
          <w:rFonts w:ascii="Bookman Old Style" w:hAnsi="Bookman Old Style"/>
        </w:rPr>
        <w:t xml:space="preserve">de </w:t>
      </w:r>
      <w:r w:rsidR="00160372" w:rsidRPr="006E7F41">
        <w:rPr>
          <w:rFonts w:ascii="Bookman Old Style" w:hAnsi="Bookman Old Style"/>
        </w:rPr>
        <w:t xml:space="preserve">cinco </w:t>
      </w:r>
      <w:r w:rsidRPr="006E7F41">
        <w:rPr>
          <w:rFonts w:ascii="Bookman Old Style" w:hAnsi="Bookman Old Style"/>
        </w:rPr>
        <w:t>(</w:t>
      </w:r>
      <w:r w:rsidR="00160372" w:rsidRPr="006E7F41">
        <w:rPr>
          <w:rFonts w:ascii="Bookman Old Style" w:hAnsi="Bookman Old Style"/>
        </w:rPr>
        <w:t>5</w:t>
      </w:r>
      <w:r w:rsidRPr="006E7F41">
        <w:rPr>
          <w:rFonts w:ascii="Bookman Old Style" w:hAnsi="Bookman Old Style"/>
        </w:rPr>
        <w:t>) días</w:t>
      </w:r>
      <w:r w:rsidRPr="00400814">
        <w:rPr>
          <w:rFonts w:ascii="Bookman Old Style" w:hAnsi="Bookman Old Style"/>
        </w:rPr>
        <w:t xml:space="preserve"> </w:t>
      </w:r>
      <w:r w:rsidR="00160372" w:rsidRPr="00400814">
        <w:rPr>
          <w:rFonts w:ascii="Bookman Old Style" w:hAnsi="Bookman Old Style"/>
        </w:rPr>
        <w:t xml:space="preserve">calendario </w:t>
      </w:r>
      <w:r w:rsidRPr="00400814">
        <w:rPr>
          <w:rFonts w:ascii="Bookman Old Style" w:hAnsi="Bookman Old Style"/>
        </w:rPr>
        <w:t>contados a partir del día siguiente a su publicación en el portal web de la CREG.</w:t>
      </w:r>
    </w:p>
    <w:p w14:paraId="09C06448" w14:textId="77777777" w:rsidR="001F5C1C" w:rsidRPr="00400814" w:rsidRDefault="001F5C1C" w:rsidP="001F5C1C">
      <w:pPr>
        <w:ind w:left="0"/>
        <w:jc w:val="both"/>
        <w:rPr>
          <w:rFonts w:ascii="Bookman Old Style" w:hAnsi="Bookman Old Style"/>
        </w:rPr>
      </w:pPr>
    </w:p>
    <w:p w14:paraId="34D3C771" w14:textId="77777777" w:rsidR="001F5C1C" w:rsidRPr="00400814" w:rsidRDefault="001F5C1C" w:rsidP="001F5C1C">
      <w:pPr>
        <w:ind w:left="0"/>
        <w:jc w:val="both"/>
        <w:rPr>
          <w:rFonts w:ascii="Bookman Old Style" w:hAnsi="Bookman Old Style"/>
        </w:rPr>
      </w:pPr>
      <w:r w:rsidRPr="00400814">
        <w:rPr>
          <w:rFonts w:ascii="Bookman Old Style" w:hAnsi="Bookman Old Style"/>
        </w:rPr>
        <w:t>Se invita a los usuarios, agentes, autoridades locales municipales y departamentales competentes, demás interesados y a la Superintendencia de Servicios Públicos Domiciliarios, para que remitan sus observaciones o sugerencias sobre la propuesta, dentro del plazo establecido.</w:t>
      </w:r>
    </w:p>
    <w:p w14:paraId="3B97171D" w14:textId="77777777" w:rsidR="001F5C1C" w:rsidRPr="00400814" w:rsidRDefault="001F5C1C" w:rsidP="001F5C1C">
      <w:pPr>
        <w:ind w:left="0"/>
        <w:jc w:val="both"/>
        <w:rPr>
          <w:rFonts w:ascii="Bookman Old Style" w:hAnsi="Bookman Old Style"/>
        </w:rPr>
      </w:pPr>
    </w:p>
    <w:p w14:paraId="2E5E7DF1" w14:textId="60E0B6F8" w:rsidR="001F5C1C" w:rsidRPr="00400814" w:rsidRDefault="001F5C1C" w:rsidP="001F5C1C">
      <w:pPr>
        <w:ind w:left="0"/>
        <w:jc w:val="both"/>
        <w:rPr>
          <w:rFonts w:ascii="Bookman Old Style" w:hAnsi="Bookman Old Style"/>
        </w:rPr>
      </w:pPr>
      <w:r w:rsidRPr="00400814">
        <w:rPr>
          <w:rFonts w:ascii="Bookman Old Style" w:hAnsi="Bookman Old Style"/>
        </w:rPr>
        <w:t xml:space="preserve">Los interesados podrán dirigir sus comentarios al director ejecutivo de la Comisión de Regulación de Energía y Gas, al correo electrónico creg@creg.gov.co, identificando el mensaje con el siguiente asunto: </w:t>
      </w:r>
      <w:r w:rsidRPr="00400814">
        <w:rPr>
          <w:rFonts w:ascii="Bookman Old Style" w:hAnsi="Bookman Old Style"/>
          <w:i/>
          <w:iCs/>
        </w:rPr>
        <w:t>“</w:t>
      </w:r>
      <w:r w:rsidR="00160372" w:rsidRPr="00400814">
        <w:rPr>
          <w:rFonts w:ascii="Bookman Old Style" w:hAnsi="Bookman Old Style"/>
          <w:i/>
          <w:iCs/>
        </w:rPr>
        <w:t xml:space="preserve">Proyecto de resolución 701 </w:t>
      </w:r>
      <w:r w:rsidR="00ED654F">
        <w:rPr>
          <w:rFonts w:ascii="Bookman Old Style" w:hAnsi="Bookman Old Style"/>
          <w:i/>
          <w:iCs/>
        </w:rPr>
        <w:t>028</w:t>
      </w:r>
      <w:r w:rsidR="00160372" w:rsidRPr="00400814">
        <w:rPr>
          <w:rFonts w:ascii="Bookman Old Style" w:hAnsi="Bookman Old Style"/>
          <w:i/>
          <w:iCs/>
        </w:rPr>
        <w:t xml:space="preserve"> de 2023 – Precio de Bolsa</w:t>
      </w:r>
      <w:r w:rsidRPr="00400814">
        <w:rPr>
          <w:rFonts w:ascii="Bookman Old Style" w:hAnsi="Bookman Old Style"/>
          <w:i/>
          <w:iCs/>
        </w:rPr>
        <w:t>”</w:t>
      </w:r>
      <w:r w:rsidRPr="00400814">
        <w:rPr>
          <w:rFonts w:ascii="Bookman Old Style" w:hAnsi="Bookman Old Style"/>
        </w:rPr>
        <w:t>.</w:t>
      </w:r>
    </w:p>
    <w:p w14:paraId="7A12482F" w14:textId="77777777" w:rsidR="001F5C1C" w:rsidRPr="00400814" w:rsidRDefault="001F5C1C" w:rsidP="001F5C1C">
      <w:pPr>
        <w:ind w:left="0"/>
        <w:jc w:val="both"/>
        <w:rPr>
          <w:rFonts w:ascii="Bookman Old Style" w:hAnsi="Bookman Old Style"/>
        </w:rPr>
      </w:pPr>
    </w:p>
    <w:p w14:paraId="2A6837C6" w14:textId="77777777" w:rsidR="001F5C1C" w:rsidRPr="00400814" w:rsidRDefault="001F5C1C" w:rsidP="001F5C1C">
      <w:pPr>
        <w:ind w:left="0"/>
        <w:jc w:val="both"/>
        <w:rPr>
          <w:rFonts w:ascii="Bookman Old Style" w:hAnsi="Bookman Old Style"/>
        </w:rPr>
      </w:pPr>
      <w:r w:rsidRPr="00400814">
        <w:rPr>
          <w:rFonts w:ascii="Bookman Old Style" w:hAnsi="Bookman Old Style"/>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14:paraId="7B3074C7" w14:textId="77777777" w:rsidR="001F5C1C" w:rsidRPr="00400814" w:rsidRDefault="001F5C1C" w:rsidP="001F5C1C">
      <w:pPr>
        <w:ind w:left="0"/>
        <w:jc w:val="center"/>
        <w:rPr>
          <w:rFonts w:ascii="Bookman Old Style" w:hAnsi="Bookman Old Style"/>
          <w:bCs/>
          <w:lang w:val="es-CO"/>
        </w:rPr>
      </w:pPr>
    </w:p>
    <w:p w14:paraId="0CFCEBEF" w14:textId="77777777" w:rsidR="001F5C1C" w:rsidRPr="00400814" w:rsidRDefault="001F5C1C" w:rsidP="001F5C1C">
      <w:pPr>
        <w:ind w:left="0"/>
        <w:jc w:val="center"/>
        <w:rPr>
          <w:rFonts w:ascii="Bookman Old Style" w:hAnsi="Bookman Old Style"/>
          <w:bCs/>
          <w:lang w:val="es-CO"/>
        </w:rPr>
      </w:pPr>
    </w:p>
    <w:p w14:paraId="5DF3EA31" w14:textId="77777777" w:rsidR="001F5C1C" w:rsidRPr="00400814" w:rsidRDefault="001F5C1C" w:rsidP="001F5C1C">
      <w:pPr>
        <w:ind w:left="0"/>
        <w:jc w:val="center"/>
        <w:rPr>
          <w:rFonts w:ascii="Bookman Old Style" w:hAnsi="Bookman Old Style"/>
          <w:b/>
          <w:bCs/>
        </w:rPr>
      </w:pPr>
      <w:r w:rsidRPr="00400814">
        <w:rPr>
          <w:rFonts w:ascii="Bookman Old Style" w:hAnsi="Bookman Old Style"/>
          <w:b/>
          <w:bCs/>
        </w:rPr>
        <w:t>PROYECTO DE RESOLUCIÓN</w:t>
      </w:r>
    </w:p>
    <w:p w14:paraId="15A71B8E" w14:textId="77777777" w:rsidR="00B351B4" w:rsidRPr="00400814" w:rsidRDefault="00B351B4" w:rsidP="00012259">
      <w:pPr>
        <w:ind w:left="0"/>
        <w:rPr>
          <w:rFonts w:ascii="Bookman Old Style" w:hAnsi="Bookman Old Style"/>
          <w:bCs/>
        </w:rPr>
      </w:pPr>
    </w:p>
    <w:p w14:paraId="46D8C664" w14:textId="315604EF" w:rsidR="00045D3D" w:rsidRPr="00400814" w:rsidRDefault="00045D3D" w:rsidP="00045D3D">
      <w:pPr>
        <w:ind w:left="0"/>
        <w:jc w:val="center"/>
        <w:rPr>
          <w:rFonts w:ascii="Bookman Old Style" w:hAnsi="Bookman Old Style"/>
        </w:rPr>
      </w:pPr>
      <w:bookmarkStart w:id="0" w:name="_Hlk152950430"/>
      <w:r w:rsidRPr="00400814">
        <w:rPr>
          <w:rFonts w:ascii="Bookman Old Style" w:hAnsi="Bookman Old Style"/>
        </w:rPr>
        <w:t xml:space="preserve">Por </w:t>
      </w:r>
      <w:r w:rsidR="00160372" w:rsidRPr="00400814">
        <w:rPr>
          <w:rFonts w:ascii="Bookman Old Style" w:hAnsi="Bookman Old Style"/>
        </w:rPr>
        <w:t>la cual se</w:t>
      </w:r>
      <w:r w:rsidR="0083208A">
        <w:rPr>
          <w:rFonts w:ascii="Bookman Old Style" w:hAnsi="Bookman Old Style"/>
        </w:rPr>
        <w:t xml:space="preserve"> adoptan reglas transitorias </w:t>
      </w:r>
      <w:r w:rsidR="006D4224">
        <w:rPr>
          <w:rFonts w:ascii="Bookman Old Style" w:hAnsi="Bookman Old Style"/>
        </w:rPr>
        <w:t xml:space="preserve">en </w:t>
      </w:r>
      <w:r w:rsidR="009238A9">
        <w:rPr>
          <w:rFonts w:ascii="Bookman Old Style" w:hAnsi="Bookman Old Style"/>
        </w:rPr>
        <w:t>el</w:t>
      </w:r>
      <w:r w:rsidR="00643F98">
        <w:rPr>
          <w:rFonts w:ascii="Bookman Old Style" w:hAnsi="Bookman Old Style"/>
        </w:rPr>
        <w:t xml:space="preserve"> </w:t>
      </w:r>
      <w:r w:rsidR="00160372" w:rsidRPr="00400814">
        <w:rPr>
          <w:rFonts w:ascii="Bookman Old Style" w:hAnsi="Bookman Old Style"/>
        </w:rPr>
        <w:t>precio de bolsa del Mercado de Energía Mayorista</w:t>
      </w:r>
      <w:r w:rsidR="00195241">
        <w:rPr>
          <w:rFonts w:ascii="Bookman Old Style" w:hAnsi="Bookman Old Style"/>
        </w:rPr>
        <w:t xml:space="preserve"> durante el período de</w:t>
      </w:r>
      <w:r w:rsidR="00926A71">
        <w:rPr>
          <w:rFonts w:ascii="Bookman Old Style" w:hAnsi="Bookman Old Style"/>
        </w:rPr>
        <w:t>l Fenómeno de</w:t>
      </w:r>
      <w:r w:rsidR="00195241">
        <w:rPr>
          <w:rFonts w:ascii="Bookman Old Style" w:hAnsi="Bookman Old Style"/>
        </w:rPr>
        <w:t xml:space="preserve"> El </w:t>
      </w:r>
      <w:r w:rsidR="00CF7C94">
        <w:rPr>
          <w:rFonts w:ascii="Bookman Old Style" w:hAnsi="Bookman Old Style"/>
        </w:rPr>
        <w:t>Niño</w:t>
      </w:r>
      <w:r w:rsidR="008A7F4A">
        <w:rPr>
          <w:rFonts w:ascii="Bookman Old Style" w:hAnsi="Bookman Old Style"/>
        </w:rPr>
        <w:t>.</w:t>
      </w:r>
    </w:p>
    <w:bookmarkEnd w:id="0"/>
    <w:p w14:paraId="053FCB54" w14:textId="77777777" w:rsidR="00045D3D" w:rsidRPr="00400814" w:rsidRDefault="00045D3D" w:rsidP="00045D3D">
      <w:pPr>
        <w:ind w:right="51"/>
        <w:rPr>
          <w:rFonts w:ascii="Bookman Old Style" w:hAnsi="Bookman Old Style"/>
        </w:rPr>
      </w:pPr>
    </w:p>
    <w:p w14:paraId="7B67FAFA" w14:textId="77777777" w:rsidR="00045D3D" w:rsidRPr="00400814" w:rsidRDefault="00045D3D" w:rsidP="00045D3D">
      <w:pPr>
        <w:ind w:right="51"/>
        <w:jc w:val="center"/>
        <w:rPr>
          <w:rFonts w:ascii="Bookman Old Style" w:hAnsi="Bookman Old Style"/>
          <w:b/>
        </w:rPr>
      </w:pPr>
      <w:r w:rsidRPr="00400814">
        <w:rPr>
          <w:rFonts w:ascii="Bookman Old Style" w:hAnsi="Bookman Old Style"/>
          <w:b/>
        </w:rPr>
        <w:t xml:space="preserve">LA COMISIÓN DE REGULACIÓN </w:t>
      </w:r>
      <w:r w:rsidR="007B5A60" w:rsidRPr="00400814">
        <w:rPr>
          <w:rFonts w:ascii="Bookman Old Style" w:hAnsi="Bookman Old Style"/>
          <w:b/>
        </w:rPr>
        <w:t>DE ENERGÍA</w:t>
      </w:r>
      <w:r w:rsidRPr="00400814">
        <w:rPr>
          <w:rFonts w:ascii="Bookman Old Style" w:hAnsi="Bookman Old Style"/>
          <w:b/>
        </w:rPr>
        <w:t xml:space="preserve"> Y GAS</w:t>
      </w:r>
    </w:p>
    <w:p w14:paraId="5F144221" w14:textId="77777777" w:rsidR="00045D3D" w:rsidRPr="00400814" w:rsidRDefault="00045D3D" w:rsidP="00045D3D">
      <w:pPr>
        <w:ind w:left="0" w:right="51"/>
        <w:rPr>
          <w:rFonts w:ascii="Bookman Old Style" w:hAnsi="Bookman Old Style"/>
        </w:rPr>
      </w:pPr>
    </w:p>
    <w:p w14:paraId="2739C8D4" w14:textId="77777777" w:rsidR="00045D3D" w:rsidRPr="00400814" w:rsidRDefault="00045D3D" w:rsidP="00045D3D">
      <w:pPr>
        <w:ind w:left="0" w:right="51"/>
        <w:rPr>
          <w:rFonts w:ascii="Bookman Old Style" w:hAnsi="Bookman Old Style"/>
        </w:rPr>
      </w:pPr>
    </w:p>
    <w:p w14:paraId="6EDA2283" w14:textId="77777777" w:rsidR="00045D3D" w:rsidRPr="00400814" w:rsidRDefault="00045D3D" w:rsidP="00045D3D">
      <w:pPr>
        <w:pStyle w:val="Textoindependiente3"/>
        <w:ind w:left="0"/>
        <w:rPr>
          <w:rFonts w:ascii="Bookman Old Style" w:hAnsi="Bookman Old Style"/>
          <w:b w:val="0"/>
        </w:rPr>
      </w:pPr>
      <w:r w:rsidRPr="00400814">
        <w:rPr>
          <w:rFonts w:ascii="Bookman Old Style" w:hAnsi="Bookman Old Style"/>
          <w:b w:val="0"/>
        </w:rPr>
        <w:t xml:space="preserve">En ejercicio de sus atribuciones constitucionales y legales, en especial las conferidas por las </w:t>
      </w:r>
      <w:r w:rsidR="002352B9" w:rsidRPr="00400814">
        <w:rPr>
          <w:rFonts w:ascii="Bookman Old Style" w:hAnsi="Bookman Old Style"/>
          <w:b w:val="0"/>
        </w:rPr>
        <w:t>l</w:t>
      </w:r>
      <w:r w:rsidRPr="00400814">
        <w:rPr>
          <w:rFonts w:ascii="Bookman Old Style" w:hAnsi="Bookman Old Style"/>
          <w:b w:val="0"/>
        </w:rPr>
        <w:t xml:space="preserve">eyes 142 y 143 de 1994, y en desarrollo de los </w:t>
      </w:r>
      <w:r w:rsidR="002352B9" w:rsidRPr="00400814">
        <w:rPr>
          <w:rFonts w:ascii="Bookman Old Style" w:hAnsi="Bookman Old Style"/>
          <w:b w:val="0"/>
        </w:rPr>
        <w:t>d</w:t>
      </w:r>
      <w:r w:rsidRPr="00400814">
        <w:rPr>
          <w:rFonts w:ascii="Bookman Old Style" w:hAnsi="Bookman Old Style"/>
          <w:b w:val="0"/>
        </w:rPr>
        <w:t>ecretos 1524 y 2253 de 1994.</w:t>
      </w:r>
    </w:p>
    <w:p w14:paraId="416AEFF4" w14:textId="77777777" w:rsidR="00045D3D" w:rsidRPr="00400814" w:rsidRDefault="00045D3D" w:rsidP="00045D3D">
      <w:pPr>
        <w:ind w:right="51"/>
        <w:rPr>
          <w:rFonts w:ascii="Bookman Old Style" w:hAnsi="Bookman Old Style"/>
        </w:rPr>
      </w:pPr>
    </w:p>
    <w:p w14:paraId="3E8440ED" w14:textId="77777777" w:rsidR="00045D3D" w:rsidRPr="00400814" w:rsidRDefault="00045D3D" w:rsidP="00045D3D">
      <w:pPr>
        <w:ind w:right="51"/>
        <w:rPr>
          <w:rFonts w:ascii="Bookman Old Style" w:hAnsi="Bookman Old Style"/>
        </w:rPr>
      </w:pPr>
    </w:p>
    <w:p w14:paraId="0B6D7146" w14:textId="03F167C1" w:rsidR="00045D3D" w:rsidRPr="00512149" w:rsidRDefault="00045D3D" w:rsidP="1668B31C">
      <w:pPr>
        <w:ind w:right="51"/>
        <w:jc w:val="center"/>
        <w:rPr>
          <w:rFonts w:ascii="Bookman Old Style" w:hAnsi="Bookman Old Style"/>
          <w:b/>
          <w:bCs/>
          <w:lang w:val="pt-BR"/>
        </w:rPr>
      </w:pPr>
      <w:r w:rsidRPr="00512149">
        <w:rPr>
          <w:rFonts w:ascii="Bookman Old Style" w:hAnsi="Bookman Old Style"/>
          <w:b/>
          <w:bCs/>
          <w:lang w:val="pt-BR"/>
        </w:rPr>
        <w:t xml:space="preserve">C O N S I D E R A N D </w:t>
      </w:r>
      <w:r w:rsidR="007B5A60" w:rsidRPr="00512149">
        <w:rPr>
          <w:rFonts w:ascii="Bookman Old Style" w:hAnsi="Bookman Old Style"/>
          <w:b/>
          <w:bCs/>
          <w:lang w:val="pt-BR"/>
        </w:rPr>
        <w:t>O Q</w:t>
      </w:r>
      <w:r w:rsidRPr="00512149">
        <w:rPr>
          <w:rFonts w:ascii="Bookman Old Style" w:hAnsi="Bookman Old Style"/>
          <w:b/>
          <w:bCs/>
          <w:lang w:val="pt-BR"/>
        </w:rPr>
        <w:t xml:space="preserve"> U E:</w:t>
      </w:r>
    </w:p>
    <w:p w14:paraId="1670F28A" w14:textId="77777777" w:rsidR="00280B18" w:rsidRPr="00200D67" w:rsidRDefault="00280B18" w:rsidP="00280B18">
      <w:pPr>
        <w:ind w:left="0"/>
        <w:jc w:val="both"/>
        <w:rPr>
          <w:rFonts w:ascii="Bookman Old Style" w:hAnsi="Bookman Old Style"/>
          <w:lang w:val="pt-BR"/>
        </w:rPr>
      </w:pPr>
    </w:p>
    <w:p w14:paraId="25338BDF" w14:textId="211F020D" w:rsidR="00926A71" w:rsidRDefault="00926A71" w:rsidP="00280B18">
      <w:pPr>
        <w:spacing w:before="240" w:after="240"/>
        <w:ind w:left="0"/>
        <w:jc w:val="both"/>
        <w:rPr>
          <w:rFonts w:ascii="Bookman Old Style" w:hAnsi="Bookman Old Style"/>
        </w:rPr>
      </w:pPr>
      <w:r>
        <w:rPr>
          <w:rFonts w:ascii="Bookman Old Style" w:hAnsi="Bookman Old Style"/>
        </w:rPr>
        <w:t>El artículo 365 de la Constitución Política establecen que los servicios públicos son inherentes a la finalidad social del Estado, y es deber de este asegurar su prestación eficiente a todos los habitantes del territorio nacional.</w:t>
      </w:r>
    </w:p>
    <w:p w14:paraId="6BF4F482" w14:textId="3840B383" w:rsidR="00035C3A" w:rsidRDefault="00035C3A" w:rsidP="00280B18">
      <w:pPr>
        <w:spacing w:before="240" w:after="240"/>
        <w:ind w:left="0"/>
        <w:jc w:val="both"/>
        <w:rPr>
          <w:rFonts w:ascii="Bookman Old Style" w:hAnsi="Bookman Old Style"/>
        </w:rPr>
      </w:pPr>
      <w:r>
        <w:rPr>
          <w:rFonts w:ascii="Bookman Old Style" w:hAnsi="Bookman Old Style"/>
        </w:rPr>
        <w:lastRenderedPageBreak/>
        <w:t>La Le</w:t>
      </w:r>
      <w:r w:rsidR="001979AD">
        <w:rPr>
          <w:rFonts w:ascii="Bookman Old Style" w:hAnsi="Bookman Old Style"/>
        </w:rPr>
        <w:t>y</w:t>
      </w:r>
      <w:r>
        <w:rPr>
          <w:rFonts w:ascii="Bookman Old Style" w:hAnsi="Bookman Old Style"/>
        </w:rPr>
        <w:t xml:space="preserve"> 143 de 1994</w:t>
      </w:r>
      <w:r w:rsidR="00F40612">
        <w:rPr>
          <w:rFonts w:ascii="Bookman Old Style" w:hAnsi="Bookman Old Style"/>
        </w:rPr>
        <w:t xml:space="preserve">, artículo 3, dispone </w:t>
      </w:r>
      <w:r w:rsidR="00687238">
        <w:rPr>
          <w:rFonts w:ascii="Bookman Old Style" w:hAnsi="Bookman Old Style"/>
        </w:rPr>
        <w:t>que en relación con el servicio público de energía eléctrica, entre otros, le corresponde al Estado</w:t>
      </w:r>
      <w:r w:rsidR="00A57C6A">
        <w:rPr>
          <w:rFonts w:ascii="Bookman Old Style" w:hAnsi="Bookman Old Style"/>
        </w:rPr>
        <w:t>:</w:t>
      </w:r>
      <w:r w:rsidR="00687238">
        <w:rPr>
          <w:rFonts w:ascii="Bookman Old Style" w:hAnsi="Bookman Old Style"/>
        </w:rPr>
        <w:t xml:space="preserve"> promover la libre competencia dentro del sector</w:t>
      </w:r>
      <w:r w:rsidR="00A57C6A">
        <w:rPr>
          <w:rFonts w:ascii="Bookman Old Style" w:hAnsi="Bookman Old Style"/>
        </w:rPr>
        <w:t xml:space="preserve">; impedir </w:t>
      </w:r>
      <w:r w:rsidR="00CD600C">
        <w:rPr>
          <w:rFonts w:ascii="Bookman Old Style" w:hAnsi="Bookman Old Style"/>
        </w:rPr>
        <w:t>prácticas</w:t>
      </w:r>
      <w:r w:rsidR="00A57C6A">
        <w:rPr>
          <w:rFonts w:ascii="Bookman Old Style" w:hAnsi="Bookman Old Style"/>
        </w:rPr>
        <w:t xml:space="preserve"> </w:t>
      </w:r>
      <w:r w:rsidR="00CD600C">
        <w:rPr>
          <w:rFonts w:ascii="Bookman Old Style" w:hAnsi="Bookman Old Style"/>
        </w:rPr>
        <w:t>que</w:t>
      </w:r>
      <w:r w:rsidR="00A57C6A">
        <w:rPr>
          <w:rFonts w:ascii="Bookman Old Style" w:hAnsi="Bookman Old Style"/>
        </w:rPr>
        <w:t xml:space="preserve"> constitu</w:t>
      </w:r>
      <w:r w:rsidR="00CD600C">
        <w:rPr>
          <w:rFonts w:ascii="Bookman Old Style" w:hAnsi="Bookman Old Style"/>
        </w:rPr>
        <w:t>y</w:t>
      </w:r>
      <w:r w:rsidR="00A57C6A">
        <w:rPr>
          <w:rFonts w:ascii="Bookman Old Style" w:hAnsi="Bookman Old Style"/>
        </w:rPr>
        <w:t>an</w:t>
      </w:r>
      <w:r w:rsidR="002E732D">
        <w:rPr>
          <w:rFonts w:ascii="Bookman Old Style" w:hAnsi="Bookman Old Style"/>
        </w:rPr>
        <w:t xml:space="preserve"> competencia desleal o abusos de posición dominante en el mercado; regular aquellas situaciones</w:t>
      </w:r>
      <w:r w:rsidR="00DD5FE3">
        <w:rPr>
          <w:rFonts w:ascii="Bookman Old Style" w:hAnsi="Bookman Old Style"/>
        </w:rPr>
        <w:t xml:space="preserve"> en que por razones de monopolio natural, la libre competencia no garantice su prestación eficiente en términos económicos</w:t>
      </w:r>
      <w:r w:rsidR="00CD600C">
        <w:rPr>
          <w:rFonts w:ascii="Bookman Old Style" w:hAnsi="Bookman Old Style"/>
        </w:rPr>
        <w:t>; asegurar la protección de los usuarios y el cumplimiento de sus deberes</w:t>
      </w:r>
      <w:r w:rsidR="009B3B69">
        <w:rPr>
          <w:rFonts w:ascii="Bookman Old Style" w:hAnsi="Bookman Old Style"/>
        </w:rPr>
        <w:t>.</w:t>
      </w:r>
    </w:p>
    <w:p w14:paraId="1706A5F9" w14:textId="75F25006" w:rsidR="6EE8FBF5" w:rsidRPr="00400814" w:rsidRDefault="6EE8FBF5" w:rsidP="00280B18">
      <w:pPr>
        <w:spacing w:before="240" w:after="240"/>
        <w:ind w:left="0"/>
        <w:jc w:val="both"/>
        <w:rPr>
          <w:rFonts w:ascii="Bookman Old Style" w:hAnsi="Bookman Old Style"/>
        </w:rPr>
      </w:pPr>
      <w:r w:rsidRPr="00400814">
        <w:rPr>
          <w:rFonts w:ascii="Bookman Old Style" w:hAnsi="Bookman Old Style"/>
        </w:rPr>
        <w:t xml:space="preserve">Según la Ley 143 de 1994, artículo </w:t>
      </w:r>
      <w:hyperlink r:id="rId12" w:anchor="4" w:history="1">
        <w:r w:rsidRPr="00400814">
          <w:rPr>
            <w:rFonts w:ascii="Bookman Old Style" w:hAnsi="Bookman Old Style"/>
          </w:rPr>
          <w:t>4</w:t>
        </w:r>
      </w:hyperlink>
      <w:r w:rsidRPr="00400814">
        <w:rPr>
          <w:rFonts w:ascii="Bookman Old Style" w:hAnsi="Bookman Old Style"/>
        </w:rPr>
        <w:t>,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w:t>
      </w:r>
    </w:p>
    <w:p w14:paraId="225149CE" w14:textId="7F91B5B6" w:rsidR="6EE8FBF5" w:rsidRPr="00400814" w:rsidRDefault="6EE8FBF5" w:rsidP="00280B18">
      <w:pPr>
        <w:spacing w:before="240" w:after="240"/>
        <w:ind w:left="0"/>
        <w:jc w:val="both"/>
        <w:rPr>
          <w:rFonts w:ascii="Bookman Old Style" w:hAnsi="Bookman Old Style"/>
        </w:rPr>
      </w:pPr>
      <w:r w:rsidRPr="00400814">
        <w:rPr>
          <w:rFonts w:ascii="Bookman Old Style" w:hAnsi="Bookman Old Style"/>
        </w:rPr>
        <w:t xml:space="preserve">La Ley 143 de 1994, artículo </w:t>
      </w:r>
      <w:hyperlink r:id="rId13" w:anchor="20" w:history="1">
        <w:r w:rsidRPr="00400814">
          <w:rPr>
            <w:rFonts w:ascii="Bookman Old Style" w:hAnsi="Bookman Old Style"/>
          </w:rPr>
          <w:t>20</w:t>
        </w:r>
      </w:hyperlink>
      <w:r w:rsidRPr="00400814">
        <w:rPr>
          <w:rFonts w:ascii="Bookman Old Style" w:hAnsi="Bookman Old Style"/>
        </w:rPr>
        <w:t>,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14:paraId="692F465D" w14:textId="333FA23B" w:rsidR="6EE8FBF5" w:rsidRPr="00400814" w:rsidRDefault="6EE8FBF5" w:rsidP="00280B18">
      <w:pPr>
        <w:spacing w:before="240" w:after="240"/>
        <w:ind w:left="0"/>
        <w:jc w:val="both"/>
        <w:rPr>
          <w:rFonts w:ascii="Bookman Old Style" w:hAnsi="Bookman Old Style"/>
        </w:rPr>
      </w:pPr>
      <w:r w:rsidRPr="00400814">
        <w:rPr>
          <w:rFonts w:ascii="Bookman Old Style" w:hAnsi="Bookman Old Style"/>
        </w:rPr>
        <w:t xml:space="preserve">Para el cumplimiento del objetivo señalado, la Ley 143 de 1994, artículo </w:t>
      </w:r>
      <w:hyperlink r:id="rId14" w:anchor="23" w:history="1">
        <w:r w:rsidRPr="00400814">
          <w:rPr>
            <w:rFonts w:ascii="Bookman Old Style" w:hAnsi="Bookman Old Style"/>
          </w:rPr>
          <w:t>23</w:t>
        </w:r>
      </w:hyperlink>
      <w:r w:rsidRPr="00400814">
        <w:rPr>
          <w:rFonts w:ascii="Bookman Old Style" w:hAnsi="Bookman Old Style"/>
        </w:rPr>
        <w:t>, le atribuyó a la Comisión de Regulación de Energía y Gas</w:t>
      </w:r>
      <w:r w:rsidR="00926A71">
        <w:rPr>
          <w:rFonts w:ascii="Bookman Old Style" w:hAnsi="Bookman Old Style"/>
        </w:rPr>
        <w:t>-CREG-</w:t>
      </w:r>
      <w:r w:rsidRPr="00400814">
        <w:rPr>
          <w:rFonts w:ascii="Bookman Old Style" w:hAnsi="Bookman Old Style"/>
        </w:rPr>
        <w:t>, entre otras, las siguientes funciones:</w:t>
      </w:r>
    </w:p>
    <w:p w14:paraId="61D5B3F7" w14:textId="6E1915CB" w:rsidR="6EE8FBF5" w:rsidRPr="00400814" w:rsidRDefault="6EE8FBF5" w:rsidP="00280B18">
      <w:pPr>
        <w:pStyle w:val="Prrafodelista"/>
        <w:numPr>
          <w:ilvl w:val="0"/>
          <w:numId w:val="30"/>
        </w:numPr>
        <w:spacing w:before="240" w:after="240"/>
        <w:jc w:val="both"/>
        <w:rPr>
          <w:b w:val="0"/>
          <w:bCs/>
          <w:szCs w:val="24"/>
        </w:rPr>
      </w:pPr>
      <w:r w:rsidRPr="00400814">
        <w:rPr>
          <w:b w:val="0"/>
          <w:bCs/>
          <w:szCs w:val="24"/>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p>
    <w:p w14:paraId="38D02094" w14:textId="71AA47BF" w:rsidR="6EE8FBF5" w:rsidRPr="00400814" w:rsidRDefault="6EE8FBF5" w:rsidP="00280B18">
      <w:pPr>
        <w:pStyle w:val="Prrafodelista"/>
        <w:numPr>
          <w:ilvl w:val="0"/>
          <w:numId w:val="30"/>
        </w:numPr>
        <w:spacing w:before="240" w:after="240"/>
        <w:jc w:val="both"/>
        <w:rPr>
          <w:b w:val="0"/>
          <w:bCs/>
          <w:szCs w:val="24"/>
        </w:rPr>
      </w:pPr>
      <w:r w:rsidRPr="00400814">
        <w:rPr>
          <w:b w:val="0"/>
          <w:bCs/>
          <w:szCs w:val="24"/>
        </w:rPr>
        <w:t>Valorar la capacidad de generación de respaldo de la oferta eficiente.</w:t>
      </w:r>
    </w:p>
    <w:p w14:paraId="0AF10AE3" w14:textId="3CDA5BB1" w:rsidR="6EE8FBF5" w:rsidRPr="00400814" w:rsidRDefault="6EE8FBF5" w:rsidP="00280B18">
      <w:pPr>
        <w:pStyle w:val="Prrafodelista"/>
        <w:numPr>
          <w:ilvl w:val="0"/>
          <w:numId w:val="30"/>
        </w:numPr>
        <w:spacing w:before="240" w:after="240"/>
        <w:jc w:val="both"/>
        <w:rPr>
          <w:b w:val="0"/>
          <w:bCs/>
          <w:szCs w:val="24"/>
        </w:rPr>
      </w:pPr>
      <w:r w:rsidRPr="00400814">
        <w:rPr>
          <w:b w:val="0"/>
          <w:bCs/>
          <w:szCs w:val="24"/>
        </w:rPr>
        <w:t>Definir y hacer operativos los criterios técnicos de calidad, confiabilidad y seguridad del servicio de energía.</w:t>
      </w:r>
    </w:p>
    <w:p w14:paraId="7927C0F3" w14:textId="2659C41A" w:rsidR="6EE8FBF5" w:rsidRPr="00400814" w:rsidRDefault="6EE8FBF5" w:rsidP="00280B18">
      <w:pPr>
        <w:pStyle w:val="Prrafodelista"/>
        <w:numPr>
          <w:ilvl w:val="0"/>
          <w:numId w:val="30"/>
        </w:numPr>
        <w:spacing w:before="240" w:after="240"/>
        <w:jc w:val="both"/>
        <w:rPr>
          <w:b w:val="0"/>
          <w:bCs/>
          <w:szCs w:val="24"/>
        </w:rPr>
      </w:pPr>
      <w:r w:rsidRPr="00400814">
        <w:rPr>
          <w:b w:val="0"/>
          <w:bCs/>
          <w:szCs w:val="24"/>
        </w:rPr>
        <w:t>Establecer el Reglamento de Operación para realizar el planeamiento y la coordinación de la operación del Sistema Interconectado Nacional.</w:t>
      </w:r>
    </w:p>
    <w:p w14:paraId="1D426825" w14:textId="62E05467" w:rsidR="008E734D" w:rsidRPr="00400814" w:rsidRDefault="008E734D" w:rsidP="00280B18">
      <w:pPr>
        <w:spacing w:before="240" w:after="240"/>
        <w:ind w:left="0"/>
        <w:jc w:val="both"/>
        <w:rPr>
          <w:rFonts w:ascii="Bookman Old Style" w:hAnsi="Bookman Old Style"/>
          <w:i/>
          <w:iCs/>
        </w:rPr>
      </w:pPr>
      <w:r w:rsidRPr="00400814">
        <w:rPr>
          <w:rFonts w:ascii="Bookman Old Style" w:hAnsi="Bookman Old Style"/>
        </w:rPr>
        <w:t xml:space="preserve">La Ley 143 de 1994, artículo </w:t>
      </w:r>
      <w:hyperlink r:id="rId15" w:anchor="20" w:history="1">
        <w:r w:rsidRPr="00400814">
          <w:rPr>
            <w:rFonts w:ascii="Bookman Old Style" w:hAnsi="Bookman Old Style"/>
          </w:rPr>
          <w:t>44</w:t>
        </w:r>
      </w:hyperlink>
      <w:r w:rsidRPr="00400814">
        <w:rPr>
          <w:rFonts w:ascii="Bookman Old Style" w:hAnsi="Bookman Old Style"/>
        </w:rPr>
        <w:t xml:space="preserve">, </w:t>
      </w:r>
      <w:r w:rsidRPr="00400814">
        <w:rPr>
          <w:rFonts w:ascii="Bookman Old Style" w:hAnsi="Bookman Old Style"/>
          <w:i/>
          <w:iCs/>
        </w:rPr>
        <w:t xml:space="preserve">definió </w:t>
      </w:r>
      <w:r w:rsidR="00926A71">
        <w:rPr>
          <w:rFonts w:ascii="Bookman Old Style" w:hAnsi="Bookman Old Style"/>
          <w:i/>
          <w:iCs/>
        </w:rPr>
        <w:t xml:space="preserve">que </w:t>
      </w:r>
      <w:r w:rsidRPr="00400814">
        <w:rPr>
          <w:rFonts w:ascii="Bookman Old Style" w:hAnsi="Bookman Old Style"/>
          <w:i/>
          <w:iCs/>
        </w:rPr>
        <w:t>el régimen tarifario para usuarios finales regulados de una misma empresa estará orientado por los criterios de eficiencia económica, suficiencia financiera, neutralidad, solidaridad y redistribución del ingreso, simplicidad y transparencia.</w:t>
      </w:r>
    </w:p>
    <w:p w14:paraId="17A226B1" w14:textId="77777777" w:rsidR="008E734D" w:rsidRDefault="008E734D" w:rsidP="00280B18">
      <w:pPr>
        <w:spacing w:before="240" w:after="240"/>
        <w:ind w:left="0"/>
        <w:jc w:val="both"/>
        <w:rPr>
          <w:rFonts w:ascii="Bookman Old Style" w:hAnsi="Bookman Old Style"/>
          <w:i/>
          <w:iCs/>
        </w:rPr>
      </w:pPr>
      <w:r w:rsidRPr="00400814">
        <w:rPr>
          <w:rFonts w:ascii="Bookman Old Style" w:hAnsi="Bookman Old Style"/>
          <w:i/>
          <w:iCs/>
        </w:rPr>
        <w:t>Por eficiencia económica se entiende que el régimen de tarifas procurará que éstas se aproximen a lo que serían los precios de un mercado competitivo, garantizándose una asignación eficiente de recursos en la economía, manteniendo a la vez el principio de solidaridad y redistribución del ingreso mediante la estratificación de las tarifas.</w:t>
      </w:r>
    </w:p>
    <w:p w14:paraId="5C4C0BDE" w14:textId="1F58F49A" w:rsidR="00775B6E" w:rsidRDefault="00775B6E" w:rsidP="00280B18">
      <w:pPr>
        <w:spacing w:before="240" w:after="240"/>
        <w:ind w:left="0"/>
        <w:jc w:val="both"/>
        <w:rPr>
          <w:rFonts w:ascii="Bookman Old Style" w:hAnsi="Bookman Old Style"/>
        </w:rPr>
      </w:pPr>
      <w:r w:rsidRPr="00200D67">
        <w:rPr>
          <w:rFonts w:ascii="Bookman Old Style" w:hAnsi="Bookman Old Style"/>
        </w:rPr>
        <w:t>La</w:t>
      </w:r>
      <w:r>
        <w:rPr>
          <w:rFonts w:ascii="Bookman Old Style" w:hAnsi="Bookman Old Style"/>
        </w:rPr>
        <w:t xml:space="preserve"> Ley 142 de 1994</w:t>
      </w:r>
      <w:r w:rsidR="00CC56A0">
        <w:rPr>
          <w:rFonts w:ascii="Bookman Old Style" w:hAnsi="Bookman Old Style"/>
        </w:rPr>
        <w:t>, artículo 3, dispone que la regulación es un</w:t>
      </w:r>
      <w:r w:rsidR="00E8539C">
        <w:rPr>
          <w:rFonts w:ascii="Bookman Old Style" w:hAnsi="Bookman Old Style"/>
        </w:rPr>
        <w:t xml:space="preserve"> instrumento de intervención estatal</w:t>
      </w:r>
      <w:r w:rsidR="00926A71">
        <w:rPr>
          <w:rFonts w:ascii="Bookman Old Style" w:hAnsi="Bookman Old Style"/>
        </w:rPr>
        <w:t>, y que todas</w:t>
      </w:r>
      <w:r w:rsidR="00CC56A0">
        <w:rPr>
          <w:rFonts w:ascii="Bookman Old Style" w:hAnsi="Bookman Old Style"/>
        </w:rPr>
        <w:t xml:space="preserve"> las decisiones de las autoridades en materia de </w:t>
      </w:r>
      <w:r w:rsidR="00CC56A0">
        <w:rPr>
          <w:rFonts w:ascii="Bookman Old Style" w:hAnsi="Bookman Old Style"/>
        </w:rPr>
        <w:lastRenderedPageBreak/>
        <w:t>servicios públicos deben fundarse</w:t>
      </w:r>
      <w:r w:rsidR="00CF57D8">
        <w:rPr>
          <w:rFonts w:ascii="Bookman Old Style" w:hAnsi="Bookman Old Style"/>
        </w:rPr>
        <w:t xml:space="preserve"> en los motivos que determina esa ley y dichos motivos deben ser </w:t>
      </w:r>
      <w:r w:rsidR="00E8539C">
        <w:rPr>
          <w:rFonts w:ascii="Bookman Old Style" w:hAnsi="Bookman Old Style"/>
        </w:rPr>
        <w:t>comprobables</w:t>
      </w:r>
      <w:r w:rsidR="00CF57D8">
        <w:rPr>
          <w:rFonts w:ascii="Bookman Old Style" w:hAnsi="Bookman Old Style"/>
        </w:rPr>
        <w:t>.</w:t>
      </w:r>
    </w:p>
    <w:p w14:paraId="66F21A06" w14:textId="77777777" w:rsidR="00D853C2" w:rsidRPr="00D853C2" w:rsidRDefault="00D853C2" w:rsidP="00D853C2">
      <w:pPr>
        <w:spacing w:before="240" w:after="240"/>
        <w:ind w:left="0"/>
        <w:jc w:val="both"/>
        <w:rPr>
          <w:rFonts w:ascii="Bookman Old Style" w:hAnsi="Bookman Old Style"/>
          <w:i/>
          <w:iCs/>
          <w:lang w:val="es-CO"/>
        </w:rPr>
      </w:pPr>
      <w:r>
        <w:rPr>
          <w:rFonts w:ascii="Bookman Old Style" w:hAnsi="Bookman Old Style"/>
        </w:rPr>
        <w:t xml:space="preserve">El artículo 73 de la Ley 142 de 1994 señala que </w:t>
      </w:r>
      <w:r w:rsidRPr="00D853C2">
        <w:rPr>
          <w:rFonts w:ascii="Bookman Old Style" w:hAnsi="Bookman Old Style"/>
          <w:i/>
          <w:iCs/>
        </w:rPr>
        <w:t xml:space="preserve">Las comisiones de regulación tienen la función de regular los monopolios en la prestación de los servicios públicos, cuando la competencia no sea, de hecho, posible; y, en los demás casos, la de promover la competencia entre quienes presten servicios públicos, </w:t>
      </w:r>
      <w:r w:rsidRPr="00200D67">
        <w:rPr>
          <w:rFonts w:ascii="Bookman Old Style" w:hAnsi="Bookman Old Style"/>
          <w:i/>
          <w:iCs/>
        </w:rPr>
        <w:t>para que las operaciones de los monopolistas o de los competidores</w:t>
      </w:r>
      <w:r w:rsidRPr="00D853C2">
        <w:rPr>
          <w:rFonts w:ascii="Bookman Old Style" w:hAnsi="Bookman Old Style"/>
          <w:i/>
          <w:iCs/>
        </w:rPr>
        <w:t xml:space="preserve"> sean económicamente eficientes, </w:t>
      </w:r>
      <w:r w:rsidRPr="00200D67">
        <w:rPr>
          <w:rFonts w:ascii="Bookman Old Style" w:hAnsi="Bookman Old Style"/>
          <w:i/>
          <w:iCs/>
        </w:rPr>
        <w:t>no impliquen abusos de la posición dominante</w:t>
      </w:r>
      <w:r w:rsidRPr="00D853C2">
        <w:rPr>
          <w:rFonts w:ascii="Bookman Old Style" w:hAnsi="Bookman Old Style"/>
          <w:i/>
          <w:iCs/>
        </w:rPr>
        <w:t>, y produzcan servicios de calidad.</w:t>
      </w:r>
    </w:p>
    <w:p w14:paraId="0F0CD757" w14:textId="61440AA2" w:rsidR="6EE8FBF5" w:rsidRPr="00400814" w:rsidRDefault="6EE8FBF5" w:rsidP="00280B18">
      <w:pPr>
        <w:spacing w:before="240" w:after="240"/>
        <w:ind w:left="0"/>
        <w:jc w:val="both"/>
        <w:rPr>
          <w:rFonts w:ascii="Bookman Old Style" w:hAnsi="Bookman Old Style"/>
        </w:rPr>
      </w:pPr>
      <w:r w:rsidRPr="00400814">
        <w:rPr>
          <w:rFonts w:ascii="Bookman Old Style" w:hAnsi="Bookman Old Style"/>
        </w:rPr>
        <w:t>Según</w:t>
      </w:r>
      <w:r w:rsidR="001B254D">
        <w:rPr>
          <w:rFonts w:ascii="Bookman Old Style" w:hAnsi="Bookman Old Style"/>
        </w:rPr>
        <w:t xml:space="preserve"> el </w:t>
      </w:r>
      <w:r w:rsidRPr="00400814">
        <w:rPr>
          <w:rFonts w:ascii="Bookman Old Style" w:hAnsi="Bookman Old Style"/>
        </w:rPr>
        <w:t xml:space="preserve">artículo </w:t>
      </w:r>
      <w:hyperlink r:id="rId16" w:anchor="74" w:history="1">
        <w:r w:rsidRPr="00400814">
          <w:rPr>
            <w:rFonts w:ascii="Bookman Old Style" w:hAnsi="Bookman Old Style"/>
          </w:rPr>
          <w:t>74</w:t>
        </w:r>
      </w:hyperlink>
      <w:r w:rsidRPr="00400814">
        <w:rPr>
          <w:rFonts w:ascii="Bookman Old Style" w:hAnsi="Bookman Old Style"/>
        </w:rPr>
        <w:t>,</w:t>
      </w:r>
      <w:r w:rsidR="00565D6C">
        <w:rPr>
          <w:rFonts w:ascii="Bookman Old Style" w:hAnsi="Bookman Old Style"/>
        </w:rPr>
        <w:t xml:space="preserve"> Ley 142 de 1994,</w:t>
      </w:r>
      <w:r w:rsidR="0071073B">
        <w:rPr>
          <w:rFonts w:ascii="Bookman Old Style" w:hAnsi="Bookman Old Style"/>
        </w:rPr>
        <w:t xml:space="preserve"> y </w:t>
      </w:r>
      <w:r w:rsidR="001B254D">
        <w:rPr>
          <w:rFonts w:ascii="Bookman Old Style" w:hAnsi="Bookman Old Style"/>
        </w:rPr>
        <w:t xml:space="preserve"> siguiente</w:t>
      </w:r>
      <w:r w:rsidR="0071073B">
        <w:rPr>
          <w:rFonts w:ascii="Bookman Old Style" w:hAnsi="Bookman Old Style"/>
        </w:rPr>
        <w:t>s</w:t>
      </w:r>
      <w:r w:rsidR="001B254D">
        <w:rPr>
          <w:rFonts w:ascii="Bookman Old Style" w:hAnsi="Bookman Old Style"/>
        </w:rPr>
        <w:t>,</w:t>
      </w:r>
      <w:r w:rsidR="00926A71">
        <w:rPr>
          <w:rFonts w:ascii="Bookman Old Style" w:hAnsi="Bookman Old Style"/>
        </w:rPr>
        <w:t xml:space="preserve"> señaló que</w:t>
      </w:r>
      <w:r w:rsidRPr="00400814">
        <w:rPr>
          <w:rFonts w:ascii="Bookman Old Style" w:hAnsi="Bookman Old Style"/>
        </w:rPr>
        <w:t xml:space="preserve">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estas y los grandes usuarios.</w:t>
      </w:r>
    </w:p>
    <w:p w14:paraId="026FAE4B" w14:textId="2BE0B402" w:rsidR="6EE8FBF5" w:rsidRPr="00400814" w:rsidRDefault="00FC6876" w:rsidP="00280B18">
      <w:pPr>
        <w:spacing w:before="240" w:after="240"/>
        <w:ind w:left="0"/>
        <w:jc w:val="both"/>
        <w:rPr>
          <w:rFonts w:ascii="Bookman Old Style" w:hAnsi="Bookman Old Style"/>
        </w:rPr>
      </w:pPr>
      <w:r>
        <w:rPr>
          <w:rFonts w:ascii="Bookman Old Style" w:hAnsi="Bookman Old Style"/>
        </w:rPr>
        <w:t xml:space="preserve">El mismo artículo </w:t>
      </w:r>
      <w:r w:rsidR="6EE8FBF5" w:rsidRPr="00400814">
        <w:rPr>
          <w:rFonts w:ascii="Bookman Old Style" w:hAnsi="Bookman Old Style"/>
        </w:rPr>
        <w:t xml:space="preserve">le asignó a </w:t>
      </w:r>
      <w:r w:rsidR="00650F2D">
        <w:rPr>
          <w:rFonts w:ascii="Bookman Old Style" w:hAnsi="Bookman Old Style"/>
        </w:rPr>
        <w:t xml:space="preserve">esta Comisión </w:t>
      </w:r>
      <w:r w:rsidR="6EE8FBF5" w:rsidRPr="00400814">
        <w:rPr>
          <w:rFonts w:ascii="Bookman Old Style" w:hAnsi="Bookman Old Style"/>
        </w:rPr>
        <w:t>la función de expedir el Reglamento de Operación para regular el funcionamiento del Mercado Mayorista de energía.</w:t>
      </w:r>
    </w:p>
    <w:p w14:paraId="2D2EA30D" w14:textId="6517CD4C" w:rsidR="00160372" w:rsidRPr="00400814" w:rsidRDefault="00C85D3C" w:rsidP="00280B18">
      <w:pPr>
        <w:spacing w:before="240" w:after="240"/>
        <w:ind w:left="0"/>
        <w:jc w:val="both"/>
        <w:rPr>
          <w:rFonts w:ascii="Bookman Old Style" w:hAnsi="Bookman Old Style"/>
        </w:rPr>
      </w:pPr>
      <w:r w:rsidRPr="00400814">
        <w:rPr>
          <w:rFonts w:ascii="Bookman Old Style" w:hAnsi="Bookman Old Style"/>
        </w:rPr>
        <w:t xml:space="preserve">El 4 de noviembre de 2023 el </w:t>
      </w:r>
      <w:r w:rsidR="00C310D6">
        <w:rPr>
          <w:rFonts w:ascii="Bookman Old Style" w:hAnsi="Bookman Old Style"/>
        </w:rPr>
        <w:t>Instituto de Hidrología, Met</w:t>
      </w:r>
      <w:r w:rsidR="00F81CF4">
        <w:rPr>
          <w:rFonts w:ascii="Bookman Old Style" w:hAnsi="Bookman Old Style"/>
        </w:rPr>
        <w:t>eorología y Estudios Ambientales (</w:t>
      </w:r>
      <w:proofErr w:type="spellStart"/>
      <w:r w:rsidR="00F81CF4">
        <w:rPr>
          <w:rFonts w:ascii="Bookman Old Style" w:hAnsi="Bookman Old Style"/>
        </w:rPr>
        <w:t>Ideam</w:t>
      </w:r>
      <w:proofErr w:type="spellEnd"/>
      <w:r w:rsidR="00F81CF4">
        <w:rPr>
          <w:rFonts w:ascii="Bookman Old Style" w:hAnsi="Bookman Old Style"/>
        </w:rPr>
        <w:t xml:space="preserve">) </w:t>
      </w:r>
      <w:r w:rsidRPr="00400814">
        <w:rPr>
          <w:rFonts w:ascii="Bookman Old Style" w:hAnsi="Bookman Old Style"/>
        </w:rPr>
        <w:t>declaró oficialmente el fenómeno de El Niño en el país luego de realizar seguimiento a la temperatura del océano Pacífico y establecer que durante cinco trimestres consecutivos se registraron valores superiores a 0.5 °C</w:t>
      </w:r>
      <w:r w:rsidR="00160372" w:rsidRPr="00400814">
        <w:rPr>
          <w:rFonts w:ascii="Bookman Old Style" w:hAnsi="Bookman Old Style"/>
        </w:rPr>
        <w:t>.</w:t>
      </w:r>
    </w:p>
    <w:p w14:paraId="12BBFB80" w14:textId="12DECB6C" w:rsidR="009972BB" w:rsidRPr="00200D67" w:rsidRDefault="0037222E" w:rsidP="00200D67">
      <w:pPr>
        <w:spacing w:before="240" w:after="240"/>
        <w:ind w:left="0"/>
        <w:jc w:val="both"/>
        <w:rPr>
          <w:rFonts w:ascii="Bookman Old Style" w:hAnsi="Bookman Old Style"/>
        </w:rPr>
      </w:pPr>
      <w:r w:rsidRPr="00200D67">
        <w:rPr>
          <w:rFonts w:ascii="Bookman Old Style" w:hAnsi="Bookman Old Style"/>
        </w:rPr>
        <w:t>E</w:t>
      </w:r>
      <w:r w:rsidR="00E83538" w:rsidRPr="00200D67">
        <w:rPr>
          <w:rFonts w:ascii="Bookman Old Style" w:hAnsi="Bookman Old Style"/>
        </w:rPr>
        <w:t>l</w:t>
      </w:r>
      <w:r w:rsidRPr="00200D67">
        <w:rPr>
          <w:rFonts w:ascii="Bookman Old Style" w:hAnsi="Bookman Old Style"/>
        </w:rPr>
        <w:t xml:space="preserve"> mercado de ge</w:t>
      </w:r>
      <w:r w:rsidR="008F3331" w:rsidRPr="00200D67">
        <w:rPr>
          <w:rFonts w:ascii="Bookman Old Style" w:hAnsi="Bookman Old Style"/>
        </w:rPr>
        <w:t>ner</w:t>
      </w:r>
      <w:r w:rsidRPr="00200D67">
        <w:rPr>
          <w:rFonts w:ascii="Bookman Old Style" w:hAnsi="Bookman Old Style"/>
        </w:rPr>
        <w:t>ación colombiano es un mercado o</w:t>
      </w:r>
      <w:r w:rsidR="007E19E5" w:rsidRPr="00200D67">
        <w:rPr>
          <w:rFonts w:ascii="Bookman Old Style" w:hAnsi="Bookman Old Style"/>
        </w:rPr>
        <w:t xml:space="preserve">ligopólico en donde 3 agentes </w:t>
      </w:r>
      <w:r w:rsidR="000C64BB">
        <w:rPr>
          <w:rFonts w:ascii="Bookman Old Style" w:hAnsi="Bookman Old Style"/>
        </w:rPr>
        <w:t xml:space="preserve">tienen </w:t>
      </w:r>
      <w:r w:rsidR="008F3331" w:rsidRPr="00200D67">
        <w:rPr>
          <w:rFonts w:ascii="Bookman Old Style" w:hAnsi="Bookman Old Style"/>
        </w:rPr>
        <w:t>el 65</w:t>
      </w:r>
      <w:r w:rsidR="00E83538" w:rsidRPr="00200D67">
        <w:rPr>
          <w:rFonts w:ascii="Bookman Old Style" w:hAnsi="Bookman Old Style"/>
        </w:rPr>
        <w:t>% de la capacidad instalada</w:t>
      </w:r>
      <w:r w:rsidR="000C64BB">
        <w:rPr>
          <w:rFonts w:ascii="Bookman Old Style" w:hAnsi="Bookman Old Style"/>
        </w:rPr>
        <w:t xml:space="preserve"> del sistema</w:t>
      </w:r>
      <w:r w:rsidR="009177E5" w:rsidRPr="00200D67">
        <w:rPr>
          <w:rFonts w:ascii="Bookman Old Style" w:hAnsi="Bookman Old Style"/>
        </w:rPr>
        <w:t>. Además</w:t>
      </w:r>
      <w:r w:rsidR="00DF67EB">
        <w:rPr>
          <w:rFonts w:ascii="Bookman Old Style" w:hAnsi="Bookman Old Style"/>
        </w:rPr>
        <w:t>,</w:t>
      </w:r>
      <w:r w:rsidR="009177E5" w:rsidRPr="00200D67">
        <w:rPr>
          <w:rFonts w:ascii="Bookman Old Style" w:hAnsi="Bookman Old Style"/>
        </w:rPr>
        <w:t xml:space="preserve"> </w:t>
      </w:r>
      <w:r w:rsidR="00675EDB">
        <w:rPr>
          <w:rFonts w:ascii="Bookman Old Style" w:hAnsi="Bookman Old Style"/>
        </w:rPr>
        <w:t>el</w:t>
      </w:r>
      <w:r w:rsidR="009177E5" w:rsidRPr="00200D67">
        <w:rPr>
          <w:rFonts w:ascii="Bookman Old Style" w:hAnsi="Bookman Old Style"/>
        </w:rPr>
        <w:t xml:space="preserve"> </w:t>
      </w:r>
      <w:r w:rsidR="0072582B" w:rsidRPr="00200D67">
        <w:rPr>
          <w:rFonts w:ascii="Bookman Old Style" w:hAnsi="Bookman Old Style"/>
        </w:rPr>
        <w:t>66</w:t>
      </w:r>
      <w:r w:rsidR="00CE3647" w:rsidRPr="00200D67">
        <w:rPr>
          <w:rFonts w:ascii="Bookman Old Style" w:hAnsi="Bookman Old Style"/>
        </w:rPr>
        <w:t xml:space="preserve">% de la capacidad instalada son plantas hidroeléctricas, que </w:t>
      </w:r>
      <w:r w:rsidR="004E51EB" w:rsidRPr="00200D67">
        <w:rPr>
          <w:rFonts w:ascii="Bookman Old Style" w:hAnsi="Bookman Old Style"/>
        </w:rPr>
        <w:t>entregan</w:t>
      </w:r>
      <w:r w:rsidR="00CE3647" w:rsidRPr="00200D67">
        <w:rPr>
          <w:rFonts w:ascii="Bookman Old Style" w:hAnsi="Bookman Old Style"/>
        </w:rPr>
        <w:t xml:space="preserve"> al sistema</w:t>
      </w:r>
      <w:r w:rsidR="00675EDB">
        <w:rPr>
          <w:rFonts w:ascii="Bookman Old Style" w:hAnsi="Bookman Old Style"/>
        </w:rPr>
        <w:t xml:space="preserve"> </w:t>
      </w:r>
      <w:r w:rsidR="00CE3647" w:rsidRPr="00200D67">
        <w:rPr>
          <w:rFonts w:ascii="Bookman Old Style" w:hAnsi="Bookman Old Style"/>
        </w:rPr>
        <w:t xml:space="preserve">entre el 70% y 80% </w:t>
      </w:r>
      <w:r w:rsidR="00A94BFA">
        <w:rPr>
          <w:rFonts w:ascii="Bookman Old Style" w:hAnsi="Bookman Old Style"/>
        </w:rPr>
        <w:t xml:space="preserve">de la energía requerida para atender la demanda </w:t>
      </w:r>
      <w:r w:rsidR="00CE3647" w:rsidRPr="00200D67">
        <w:rPr>
          <w:rFonts w:ascii="Bookman Old Style" w:hAnsi="Bookman Old Style"/>
        </w:rPr>
        <w:t>en condiciones normales de aporte</w:t>
      </w:r>
      <w:r w:rsidR="004E51EB" w:rsidRPr="00200D67">
        <w:rPr>
          <w:rFonts w:ascii="Bookman Old Style" w:hAnsi="Bookman Old Style"/>
        </w:rPr>
        <w:t>s</w:t>
      </w:r>
      <w:r w:rsidR="00706731">
        <w:rPr>
          <w:rFonts w:ascii="Bookman Old Style" w:hAnsi="Bookman Old Style"/>
        </w:rPr>
        <w:t>. E</w:t>
      </w:r>
      <w:r w:rsidR="00CE3647" w:rsidRPr="00200D67">
        <w:rPr>
          <w:rFonts w:ascii="Bookman Old Style" w:hAnsi="Bookman Old Style"/>
        </w:rPr>
        <w:t xml:space="preserve">n </w:t>
      </w:r>
      <w:r w:rsidR="0080152C" w:rsidRPr="00200D67">
        <w:rPr>
          <w:rFonts w:ascii="Bookman Old Style" w:hAnsi="Bookman Old Style"/>
        </w:rPr>
        <w:t>períodos</w:t>
      </w:r>
      <w:r w:rsidR="00926A71">
        <w:rPr>
          <w:rFonts w:ascii="Bookman Old Style" w:hAnsi="Bookman Old Style"/>
        </w:rPr>
        <w:t xml:space="preserve"> de</w:t>
      </w:r>
      <w:r w:rsidR="0080152C" w:rsidRPr="00200D67">
        <w:rPr>
          <w:rFonts w:ascii="Bookman Old Style" w:hAnsi="Bookman Old Style"/>
        </w:rPr>
        <w:t xml:space="preserve"> </w:t>
      </w:r>
      <w:r w:rsidR="00AD1537" w:rsidRPr="00200D67">
        <w:rPr>
          <w:rFonts w:ascii="Bookman Old Style" w:hAnsi="Bookman Old Style"/>
        </w:rPr>
        <w:t>sequía</w:t>
      </w:r>
      <w:r w:rsidR="00B46185">
        <w:rPr>
          <w:rFonts w:ascii="Bookman Old Style" w:hAnsi="Bookman Old Style"/>
        </w:rPr>
        <w:t xml:space="preserve"> </w:t>
      </w:r>
      <w:proofErr w:type="gramStart"/>
      <w:r w:rsidR="00B46185">
        <w:rPr>
          <w:rFonts w:ascii="Bookman Old Style" w:hAnsi="Bookman Old Style"/>
        </w:rPr>
        <w:t>extrema</w:t>
      </w:r>
      <w:r w:rsidR="0080152C" w:rsidRPr="00200D67">
        <w:rPr>
          <w:rFonts w:ascii="Bookman Old Style" w:hAnsi="Bookman Old Style"/>
        </w:rPr>
        <w:t>,  como</w:t>
      </w:r>
      <w:proofErr w:type="gramEnd"/>
      <w:r w:rsidR="00926A71">
        <w:rPr>
          <w:rFonts w:ascii="Bookman Old Style" w:hAnsi="Bookman Old Style"/>
        </w:rPr>
        <w:t xml:space="preserve"> los que ocurren</w:t>
      </w:r>
      <w:r w:rsidR="0080152C" w:rsidRPr="00200D67">
        <w:rPr>
          <w:rFonts w:ascii="Bookman Old Style" w:hAnsi="Bookman Old Style"/>
        </w:rPr>
        <w:t xml:space="preserve"> </w:t>
      </w:r>
      <w:r w:rsidR="00706731">
        <w:rPr>
          <w:rFonts w:ascii="Bookman Old Style" w:hAnsi="Bookman Old Style"/>
        </w:rPr>
        <w:t xml:space="preserve">cuando se presenta </w:t>
      </w:r>
      <w:r w:rsidR="00791196">
        <w:rPr>
          <w:rFonts w:ascii="Bookman Old Style" w:hAnsi="Bookman Old Style"/>
        </w:rPr>
        <w:t xml:space="preserve">el fenómeno de </w:t>
      </w:r>
      <w:r w:rsidR="0080152C" w:rsidRPr="00200D67">
        <w:rPr>
          <w:rFonts w:ascii="Bookman Old Style" w:hAnsi="Bookman Old Style"/>
        </w:rPr>
        <w:t xml:space="preserve">El Niño, </w:t>
      </w:r>
      <w:r w:rsidR="004E51EB" w:rsidRPr="00200D67">
        <w:rPr>
          <w:rFonts w:ascii="Bookman Old Style" w:hAnsi="Bookman Old Style"/>
        </w:rPr>
        <w:t>las entregas</w:t>
      </w:r>
      <w:r w:rsidR="0080152C" w:rsidRPr="00200D67">
        <w:rPr>
          <w:rFonts w:ascii="Bookman Old Style" w:hAnsi="Bookman Old Style"/>
        </w:rPr>
        <w:t xml:space="preserve"> </w:t>
      </w:r>
      <w:r w:rsidR="00791196">
        <w:rPr>
          <w:rFonts w:ascii="Bookman Old Style" w:hAnsi="Bookman Old Style"/>
        </w:rPr>
        <w:t>de energía</w:t>
      </w:r>
      <w:r w:rsidR="00926A71">
        <w:rPr>
          <w:rFonts w:ascii="Bookman Old Style" w:hAnsi="Bookman Old Style"/>
        </w:rPr>
        <w:t xml:space="preserve"> de las plantas hidroeléctricas</w:t>
      </w:r>
      <w:r w:rsidR="00791196">
        <w:rPr>
          <w:rFonts w:ascii="Bookman Old Style" w:hAnsi="Bookman Old Style"/>
        </w:rPr>
        <w:t xml:space="preserve"> para atender la demanda disminuyen </w:t>
      </w:r>
      <w:r w:rsidR="0080152C" w:rsidRPr="00200D67">
        <w:rPr>
          <w:rFonts w:ascii="Bookman Old Style" w:hAnsi="Bookman Old Style"/>
        </w:rPr>
        <w:t>a cerca del 50%</w:t>
      </w:r>
      <w:r w:rsidR="00B46185">
        <w:rPr>
          <w:rFonts w:ascii="Bookman Old Style" w:hAnsi="Bookman Old Style"/>
        </w:rPr>
        <w:t xml:space="preserve">. </w:t>
      </w:r>
    </w:p>
    <w:p w14:paraId="30C32453" w14:textId="0203FD84" w:rsidR="00673923" w:rsidRPr="00200D67" w:rsidRDefault="00AC4364" w:rsidP="00200D67">
      <w:pPr>
        <w:spacing w:before="240" w:after="240"/>
        <w:ind w:left="0"/>
        <w:jc w:val="both"/>
        <w:rPr>
          <w:rFonts w:ascii="Bookman Old Style" w:hAnsi="Bookman Old Style"/>
        </w:rPr>
      </w:pPr>
      <w:r w:rsidRPr="00200D67">
        <w:rPr>
          <w:rFonts w:ascii="Bookman Old Style" w:hAnsi="Bookman Old Style"/>
        </w:rPr>
        <w:t>En el período de sequía, correspondiente al</w:t>
      </w:r>
      <w:r w:rsidR="00926A71">
        <w:rPr>
          <w:rFonts w:ascii="Bookman Old Style" w:hAnsi="Bookman Old Style"/>
        </w:rPr>
        <w:t xml:space="preserve"> Fenómeno de</w:t>
      </w:r>
      <w:r w:rsidRPr="00200D67">
        <w:rPr>
          <w:rFonts w:ascii="Bookman Old Style" w:hAnsi="Bookman Old Style"/>
        </w:rPr>
        <w:t xml:space="preserve"> </w:t>
      </w:r>
      <w:r w:rsidR="00F05F32" w:rsidRPr="00200D67">
        <w:rPr>
          <w:rFonts w:ascii="Bookman Old Style" w:hAnsi="Bookman Old Style"/>
        </w:rPr>
        <w:t>E</w:t>
      </w:r>
      <w:r w:rsidR="0073057B" w:rsidRPr="00200D67">
        <w:rPr>
          <w:rFonts w:ascii="Bookman Old Style" w:hAnsi="Bookman Old Style"/>
        </w:rPr>
        <w:t>l</w:t>
      </w:r>
      <w:r w:rsidR="00F05F32" w:rsidRPr="00200D67">
        <w:rPr>
          <w:rFonts w:ascii="Bookman Old Style" w:hAnsi="Bookman Old Style"/>
        </w:rPr>
        <w:t xml:space="preserve"> Niño 2023-2024, la restricción en la oferta muestra que la oferta y la demanda están muy </w:t>
      </w:r>
      <w:r w:rsidR="00B46185">
        <w:rPr>
          <w:rFonts w:ascii="Bookman Old Style" w:hAnsi="Bookman Old Style"/>
        </w:rPr>
        <w:t>próximas</w:t>
      </w:r>
      <w:r w:rsidR="00F05F32" w:rsidRPr="00200D67">
        <w:rPr>
          <w:rFonts w:ascii="Bookman Old Style" w:hAnsi="Bookman Old Style"/>
        </w:rPr>
        <w:t xml:space="preserve">, </w:t>
      </w:r>
      <w:r w:rsidR="0073057B" w:rsidRPr="00200D67">
        <w:rPr>
          <w:rFonts w:ascii="Bookman Old Style" w:hAnsi="Bookman Old Style"/>
        </w:rPr>
        <w:t>dado que la demanda h</w:t>
      </w:r>
      <w:r w:rsidR="00F2782B" w:rsidRPr="00200D67">
        <w:rPr>
          <w:rFonts w:ascii="Bookman Old Style" w:hAnsi="Bookman Old Style"/>
        </w:rPr>
        <w:t>a</w:t>
      </w:r>
      <w:r w:rsidR="0073057B" w:rsidRPr="00200D67">
        <w:rPr>
          <w:rFonts w:ascii="Bookman Old Style" w:hAnsi="Bookman Old Style"/>
        </w:rPr>
        <w:t xml:space="preserve"> crecido más de lo esperado</w:t>
      </w:r>
      <w:r w:rsidR="006338C7">
        <w:rPr>
          <w:rFonts w:ascii="Bookman Old Style" w:hAnsi="Bookman Old Style"/>
        </w:rPr>
        <w:t>. Se estima que la demanda ha crecido</w:t>
      </w:r>
      <w:r w:rsidR="00313FA8" w:rsidRPr="00200D67">
        <w:rPr>
          <w:rFonts w:ascii="Bookman Old Style" w:hAnsi="Bookman Old Style"/>
        </w:rPr>
        <w:t xml:space="preserve"> </w:t>
      </w:r>
      <w:r w:rsidR="00CB594F" w:rsidRPr="00200D67">
        <w:rPr>
          <w:rFonts w:ascii="Bookman Old Style" w:hAnsi="Bookman Old Style"/>
        </w:rPr>
        <w:t xml:space="preserve">2% adicional </w:t>
      </w:r>
      <w:r w:rsidR="008C0B84">
        <w:rPr>
          <w:rFonts w:ascii="Bookman Old Style" w:hAnsi="Bookman Old Style"/>
        </w:rPr>
        <w:t xml:space="preserve">por encima </w:t>
      </w:r>
      <w:r w:rsidR="00CB594F" w:rsidRPr="00200D67">
        <w:rPr>
          <w:rFonts w:ascii="Bookman Old Style" w:hAnsi="Bookman Old Style"/>
        </w:rPr>
        <w:t>del escenario medio de la</w:t>
      </w:r>
      <w:r w:rsidR="00D0284F">
        <w:rPr>
          <w:rFonts w:ascii="Bookman Old Style" w:hAnsi="Bookman Old Style"/>
        </w:rPr>
        <w:t xml:space="preserve"> Unidad de Planeación </w:t>
      </w:r>
      <w:proofErr w:type="gramStart"/>
      <w:r w:rsidR="00D0284F">
        <w:rPr>
          <w:rFonts w:ascii="Bookman Old Style" w:hAnsi="Bookman Old Style"/>
        </w:rPr>
        <w:t>Minero Energética</w:t>
      </w:r>
      <w:proofErr w:type="gramEnd"/>
      <w:r w:rsidR="00CB594F" w:rsidRPr="00200D67">
        <w:rPr>
          <w:rFonts w:ascii="Bookman Old Style" w:hAnsi="Bookman Old Style"/>
        </w:rPr>
        <w:t xml:space="preserve"> </w:t>
      </w:r>
      <w:r w:rsidR="00D0284F">
        <w:rPr>
          <w:rFonts w:ascii="Bookman Old Style" w:hAnsi="Bookman Old Style"/>
        </w:rPr>
        <w:t>-</w:t>
      </w:r>
      <w:r w:rsidR="00CB594F" w:rsidRPr="00200D67">
        <w:rPr>
          <w:rFonts w:ascii="Bookman Old Style" w:hAnsi="Bookman Old Style"/>
        </w:rPr>
        <w:t>UPM</w:t>
      </w:r>
      <w:r w:rsidR="008960D9" w:rsidRPr="00200D67">
        <w:rPr>
          <w:rFonts w:ascii="Bookman Old Style" w:hAnsi="Bookman Old Style"/>
        </w:rPr>
        <w:t>E</w:t>
      </w:r>
      <w:r w:rsidR="00D0284F">
        <w:rPr>
          <w:rFonts w:ascii="Bookman Old Style" w:hAnsi="Bookman Old Style"/>
        </w:rPr>
        <w:t>-</w:t>
      </w:r>
      <w:r w:rsidR="00561EB2">
        <w:rPr>
          <w:rFonts w:ascii="Bookman Old Style" w:hAnsi="Bookman Old Style"/>
        </w:rPr>
        <w:t>, en especial en los meses de septiembre y octubre</w:t>
      </w:r>
      <w:r w:rsidR="00CB594F" w:rsidRPr="00200D67">
        <w:rPr>
          <w:rFonts w:ascii="Bookman Old Style" w:hAnsi="Bookman Old Style"/>
        </w:rPr>
        <w:t>,</w:t>
      </w:r>
      <w:r w:rsidR="0073057B" w:rsidRPr="00200D67">
        <w:rPr>
          <w:rFonts w:ascii="Bookman Old Style" w:hAnsi="Bookman Old Style"/>
        </w:rPr>
        <w:t xml:space="preserve"> y se han presentado atrasos en la entrada de los proyectos</w:t>
      </w:r>
      <w:r w:rsidR="00194F6A">
        <w:rPr>
          <w:rFonts w:ascii="Bookman Old Style" w:hAnsi="Bookman Old Style"/>
        </w:rPr>
        <w:t xml:space="preserve"> de generación</w:t>
      </w:r>
      <w:r w:rsidR="0073057B" w:rsidRPr="00200D67">
        <w:rPr>
          <w:rFonts w:ascii="Bookman Old Style" w:hAnsi="Bookman Old Style"/>
        </w:rPr>
        <w:t xml:space="preserve"> previst</w:t>
      </w:r>
      <w:r w:rsidR="00F2782B" w:rsidRPr="00200D67">
        <w:rPr>
          <w:rFonts w:ascii="Bookman Old Style" w:hAnsi="Bookman Old Style"/>
        </w:rPr>
        <w:t>o</w:t>
      </w:r>
      <w:r w:rsidR="00673923" w:rsidRPr="00200D67">
        <w:rPr>
          <w:rFonts w:ascii="Bookman Old Style" w:hAnsi="Bookman Old Style"/>
        </w:rPr>
        <w:t>s</w:t>
      </w:r>
      <w:r w:rsidR="0073057B" w:rsidRPr="00200D67">
        <w:rPr>
          <w:rFonts w:ascii="Bookman Old Style" w:hAnsi="Bookman Old Style"/>
        </w:rPr>
        <w:t xml:space="preserve">, </w:t>
      </w:r>
      <w:r w:rsidR="008960D9" w:rsidRPr="00200D67">
        <w:rPr>
          <w:rFonts w:ascii="Bookman Old Style" w:hAnsi="Bookman Old Style"/>
        </w:rPr>
        <w:t>en especial los proyectos</w:t>
      </w:r>
      <w:r w:rsidR="002B4E86">
        <w:rPr>
          <w:rFonts w:ascii="Bookman Old Style" w:hAnsi="Bookman Old Style"/>
        </w:rPr>
        <w:t xml:space="preserve"> Fuentes no Convencionales de Energía Renovable</w:t>
      </w:r>
      <w:r w:rsidR="008960D9" w:rsidRPr="00200D67">
        <w:rPr>
          <w:rFonts w:ascii="Bookman Old Style" w:hAnsi="Bookman Old Style"/>
        </w:rPr>
        <w:t xml:space="preserve"> </w:t>
      </w:r>
      <w:r w:rsidR="002B4E86">
        <w:rPr>
          <w:rFonts w:ascii="Bookman Old Style" w:hAnsi="Bookman Old Style"/>
        </w:rPr>
        <w:t>-</w:t>
      </w:r>
      <w:r w:rsidR="008960D9" w:rsidRPr="00200D67">
        <w:rPr>
          <w:rFonts w:ascii="Bookman Old Style" w:hAnsi="Bookman Old Style"/>
        </w:rPr>
        <w:t>FNCER</w:t>
      </w:r>
      <w:r w:rsidR="002B4E86">
        <w:rPr>
          <w:rFonts w:ascii="Bookman Old Style" w:hAnsi="Bookman Old Style"/>
        </w:rPr>
        <w:t>-</w:t>
      </w:r>
      <w:r w:rsidR="008960D9" w:rsidRPr="00200D67">
        <w:rPr>
          <w:rFonts w:ascii="Bookman Old Style" w:hAnsi="Bookman Old Style"/>
        </w:rPr>
        <w:t xml:space="preserve"> que están dependiendo de la subestación colectora en la Guajira</w:t>
      </w:r>
      <w:r w:rsidR="00673923" w:rsidRPr="00200D67">
        <w:rPr>
          <w:rFonts w:ascii="Bookman Old Style" w:hAnsi="Bookman Old Style"/>
        </w:rPr>
        <w:t>.</w:t>
      </w:r>
    </w:p>
    <w:p w14:paraId="3D51E813" w14:textId="111AA0A4" w:rsidR="00DF2B46" w:rsidRDefault="009852EA" w:rsidP="00200D67">
      <w:pPr>
        <w:spacing w:before="240" w:after="240"/>
        <w:ind w:left="0"/>
        <w:jc w:val="both"/>
        <w:rPr>
          <w:rFonts w:ascii="Bookman Old Style" w:hAnsi="Bookman Old Style"/>
        </w:rPr>
      </w:pPr>
      <w:r w:rsidRPr="00200D67">
        <w:rPr>
          <w:rFonts w:ascii="Bookman Old Style" w:hAnsi="Bookman Old Style"/>
        </w:rPr>
        <w:t>Teniendo en cuenta lo anterior, la situación de precios en la bolsa</w:t>
      </w:r>
      <w:r w:rsidR="00692D2C">
        <w:rPr>
          <w:rFonts w:ascii="Bookman Old Style" w:hAnsi="Bookman Old Style"/>
        </w:rPr>
        <w:t xml:space="preserve"> publicados por el operador de mercado</w:t>
      </w:r>
      <w:r w:rsidRPr="00200D67">
        <w:rPr>
          <w:rFonts w:ascii="Bookman Old Style" w:hAnsi="Bookman Old Style"/>
        </w:rPr>
        <w:t xml:space="preserve"> ha mostrado una tendencia al alza</w:t>
      </w:r>
      <w:r w:rsidR="00520BCF" w:rsidRPr="00200D67">
        <w:rPr>
          <w:rFonts w:ascii="Bookman Old Style" w:hAnsi="Bookman Old Style"/>
        </w:rPr>
        <w:t xml:space="preserve">, como </w:t>
      </w:r>
      <w:r w:rsidR="00273453">
        <w:rPr>
          <w:rFonts w:ascii="Bookman Old Style" w:hAnsi="Bookman Old Style"/>
        </w:rPr>
        <w:t xml:space="preserve">se evidenció en </w:t>
      </w:r>
      <w:r w:rsidR="00520BCF" w:rsidRPr="00200D67">
        <w:rPr>
          <w:rFonts w:ascii="Bookman Old Style" w:hAnsi="Bookman Old Style"/>
        </w:rPr>
        <w:t xml:space="preserve">los meses de </w:t>
      </w:r>
      <w:r w:rsidR="00397E15" w:rsidRPr="00200D67">
        <w:rPr>
          <w:rFonts w:ascii="Bookman Old Style" w:hAnsi="Bookman Old Style"/>
        </w:rPr>
        <w:t>septiembre y octubre de 2023</w:t>
      </w:r>
      <w:r w:rsidR="00706C8A" w:rsidRPr="00200D67">
        <w:rPr>
          <w:rFonts w:ascii="Bookman Old Style" w:hAnsi="Bookman Old Style"/>
        </w:rPr>
        <w:t xml:space="preserve"> en donde los precio</w:t>
      </w:r>
      <w:r w:rsidR="00AD353B">
        <w:rPr>
          <w:rFonts w:ascii="Bookman Old Style" w:hAnsi="Bookman Old Style"/>
        </w:rPr>
        <w:t>s</w:t>
      </w:r>
      <w:r w:rsidR="00706C8A" w:rsidRPr="00200D67">
        <w:rPr>
          <w:rFonts w:ascii="Bookman Old Style" w:hAnsi="Bookman Old Style"/>
        </w:rPr>
        <w:t xml:space="preserve"> en bolsa bordearon el precio de escasez.</w:t>
      </w:r>
      <w:r w:rsidR="00B46185">
        <w:rPr>
          <w:rFonts w:ascii="Bookman Old Style" w:hAnsi="Bookman Old Style"/>
        </w:rPr>
        <w:t xml:space="preserve"> Aunque lo esperado en períodos de escasez de oferta en </w:t>
      </w:r>
      <w:r w:rsidR="00DF2B46">
        <w:rPr>
          <w:rFonts w:ascii="Bookman Old Style" w:hAnsi="Bookman Old Style"/>
        </w:rPr>
        <w:t>los mercados</w:t>
      </w:r>
      <w:r w:rsidR="00B46185">
        <w:rPr>
          <w:rFonts w:ascii="Bookman Old Style" w:hAnsi="Bookman Old Style"/>
        </w:rPr>
        <w:t xml:space="preserve"> en competencia conduzca a precios superiores a los </w:t>
      </w:r>
      <w:r w:rsidR="00B46185">
        <w:rPr>
          <w:rFonts w:ascii="Bookman Old Style" w:hAnsi="Bookman Old Style"/>
        </w:rPr>
        <w:lastRenderedPageBreak/>
        <w:t xml:space="preserve">que ocurren en épocas de oferta normal, los incrementos mencionados en la bolsa superan la </w:t>
      </w:r>
      <w:r w:rsidR="00DF2B46">
        <w:rPr>
          <w:rFonts w:ascii="Bookman Old Style" w:hAnsi="Bookman Old Style"/>
        </w:rPr>
        <w:t>expectativa</w:t>
      </w:r>
      <w:r w:rsidR="00B46185">
        <w:rPr>
          <w:rFonts w:ascii="Bookman Old Style" w:hAnsi="Bookman Old Style"/>
        </w:rPr>
        <w:t xml:space="preserve"> </w:t>
      </w:r>
      <w:r w:rsidR="00DF2B46">
        <w:rPr>
          <w:rFonts w:ascii="Bookman Old Style" w:hAnsi="Bookman Old Style"/>
        </w:rPr>
        <w:t xml:space="preserve">y llevan al Comisión a actuar de manera preventiva para evitar trasladar a los consumidores precios ineficientes. </w:t>
      </w:r>
    </w:p>
    <w:p w14:paraId="7EA742FA" w14:textId="5AAAA4E7" w:rsidR="003B3E78" w:rsidRPr="00200D67" w:rsidRDefault="00A468D4" w:rsidP="00200D67">
      <w:pPr>
        <w:spacing w:before="240" w:after="240"/>
        <w:ind w:left="0"/>
        <w:jc w:val="both"/>
        <w:rPr>
          <w:rFonts w:ascii="Bookman Old Style" w:hAnsi="Bookman Old Style"/>
        </w:rPr>
      </w:pPr>
      <w:r w:rsidRPr="00200D67">
        <w:rPr>
          <w:rFonts w:ascii="Bookman Old Style" w:hAnsi="Bookman Old Style"/>
        </w:rPr>
        <w:t>Por otro lado, u</w:t>
      </w:r>
      <w:r w:rsidR="00B509A2" w:rsidRPr="00200D67">
        <w:rPr>
          <w:rFonts w:ascii="Bookman Old Style" w:hAnsi="Bookman Old Style"/>
        </w:rPr>
        <w:t>na situaci</w:t>
      </w:r>
      <w:r w:rsidRPr="00200D67">
        <w:rPr>
          <w:rFonts w:ascii="Bookman Old Style" w:hAnsi="Bookman Old Style"/>
        </w:rPr>
        <w:t xml:space="preserve">ón </w:t>
      </w:r>
      <w:r w:rsidR="00B509A2" w:rsidRPr="00200D67">
        <w:rPr>
          <w:rFonts w:ascii="Bookman Old Style" w:hAnsi="Bookman Old Style"/>
        </w:rPr>
        <w:t>de precios</w:t>
      </w:r>
      <w:r w:rsidR="00DF2B46">
        <w:rPr>
          <w:rFonts w:ascii="Bookman Old Style" w:hAnsi="Bookman Old Style"/>
        </w:rPr>
        <w:t xml:space="preserve"> elevados más allá de los eficientes </w:t>
      </w:r>
      <w:r w:rsidR="00996E75" w:rsidRPr="00200D67">
        <w:rPr>
          <w:rFonts w:ascii="Bookman Old Style" w:hAnsi="Bookman Old Style"/>
        </w:rPr>
        <w:t>en el mercado</w:t>
      </w:r>
      <w:r w:rsidR="00DF2B46">
        <w:rPr>
          <w:rFonts w:ascii="Bookman Old Style" w:hAnsi="Bookman Old Style"/>
        </w:rPr>
        <w:t xml:space="preserve"> unida a una dependencia significativa en </w:t>
      </w:r>
      <w:r w:rsidR="00C45887" w:rsidRPr="00200D67">
        <w:rPr>
          <w:rFonts w:ascii="Bookman Old Style" w:hAnsi="Bookman Old Style"/>
        </w:rPr>
        <w:t>el volumen de compras que se realiza en</w:t>
      </w:r>
      <w:r w:rsidR="00DF2B46">
        <w:rPr>
          <w:rFonts w:ascii="Bookman Old Style" w:hAnsi="Bookman Old Style"/>
        </w:rPr>
        <w:t xml:space="preserve"> la bolsa   por parte de algunos</w:t>
      </w:r>
      <w:r w:rsidR="00C45887" w:rsidRPr="00200D67">
        <w:rPr>
          <w:rFonts w:ascii="Bookman Old Style" w:hAnsi="Bookman Old Style"/>
        </w:rPr>
        <w:t xml:space="preserve"> comerciali</w:t>
      </w:r>
      <w:r w:rsidR="0049319B" w:rsidRPr="00200D67">
        <w:rPr>
          <w:rFonts w:ascii="Bookman Old Style" w:hAnsi="Bookman Old Style"/>
        </w:rPr>
        <w:t>za</w:t>
      </w:r>
      <w:r w:rsidR="00C45887" w:rsidRPr="00200D67">
        <w:rPr>
          <w:rFonts w:ascii="Bookman Old Style" w:hAnsi="Bookman Old Style"/>
        </w:rPr>
        <w:t>dores que atienden a los usuarios</w:t>
      </w:r>
      <w:r w:rsidR="00F023FA" w:rsidRPr="00200D67">
        <w:rPr>
          <w:rFonts w:ascii="Bookman Old Style" w:hAnsi="Bookman Old Style"/>
        </w:rPr>
        <w:t xml:space="preserve">, </w:t>
      </w:r>
      <w:r w:rsidR="00382D50" w:rsidRPr="00200D67">
        <w:rPr>
          <w:rFonts w:ascii="Bookman Old Style" w:hAnsi="Bookman Old Style"/>
        </w:rPr>
        <w:t xml:space="preserve">algunos de los cuales </w:t>
      </w:r>
      <w:r w:rsidR="00F20532" w:rsidRPr="00200D67">
        <w:rPr>
          <w:rFonts w:ascii="Bookman Old Style" w:hAnsi="Bookman Old Style"/>
        </w:rPr>
        <w:t>tienen una</w:t>
      </w:r>
      <w:r w:rsidR="00DB274E">
        <w:rPr>
          <w:rFonts w:ascii="Bookman Old Style" w:hAnsi="Bookman Old Style"/>
        </w:rPr>
        <w:t xml:space="preserve"> difícil</w:t>
      </w:r>
      <w:r w:rsidR="00F20532" w:rsidRPr="00200D67">
        <w:rPr>
          <w:rFonts w:ascii="Bookman Old Style" w:hAnsi="Bookman Old Style"/>
        </w:rPr>
        <w:t xml:space="preserve"> </w:t>
      </w:r>
      <w:r w:rsidR="00F023FA" w:rsidRPr="00200D67">
        <w:rPr>
          <w:rFonts w:ascii="Bookman Old Style" w:hAnsi="Bookman Old Style"/>
        </w:rPr>
        <w:t xml:space="preserve">situación financiera </w:t>
      </w:r>
      <w:r w:rsidR="00DB274E">
        <w:rPr>
          <w:rFonts w:ascii="Bookman Old Style" w:hAnsi="Bookman Old Style"/>
        </w:rPr>
        <w:t xml:space="preserve">debido a </w:t>
      </w:r>
      <w:r w:rsidR="000B6DE5">
        <w:rPr>
          <w:rFonts w:ascii="Bookman Old Style" w:hAnsi="Bookman Old Style"/>
        </w:rPr>
        <w:t xml:space="preserve">los </w:t>
      </w:r>
      <w:r w:rsidR="00F62B0F" w:rsidRPr="00200D67">
        <w:rPr>
          <w:rFonts w:ascii="Bookman Old Style" w:hAnsi="Bookman Old Style"/>
        </w:rPr>
        <w:t>saldos acumulados de la opción</w:t>
      </w:r>
      <w:r w:rsidR="00F20532" w:rsidRPr="00200D67">
        <w:rPr>
          <w:rFonts w:ascii="Bookman Old Style" w:hAnsi="Bookman Old Style"/>
        </w:rPr>
        <w:t xml:space="preserve"> tarifaria</w:t>
      </w:r>
      <w:r w:rsidR="007B071C">
        <w:rPr>
          <w:rFonts w:ascii="Bookman Old Style" w:hAnsi="Bookman Old Style"/>
        </w:rPr>
        <w:t>, como se señala el Documento CRE</w:t>
      </w:r>
      <w:r w:rsidR="009D02FB">
        <w:rPr>
          <w:rFonts w:ascii="Bookman Old Style" w:hAnsi="Bookman Old Style"/>
        </w:rPr>
        <w:t xml:space="preserve">G 901 </w:t>
      </w:r>
      <w:r w:rsidR="00E3394A">
        <w:rPr>
          <w:rFonts w:ascii="Bookman Old Style" w:hAnsi="Bookman Old Style"/>
        </w:rPr>
        <w:t>037 de 2</w:t>
      </w:r>
      <w:r w:rsidR="0013209D">
        <w:rPr>
          <w:rFonts w:ascii="Bookman Old Style" w:hAnsi="Bookman Old Style"/>
        </w:rPr>
        <w:t>023,</w:t>
      </w:r>
      <w:r w:rsidR="00F62B0F" w:rsidRPr="00200D67">
        <w:rPr>
          <w:rFonts w:ascii="Bookman Old Style" w:hAnsi="Bookman Old Style"/>
        </w:rPr>
        <w:t xml:space="preserve"> puede conllevar a un riesgo sistémico</w:t>
      </w:r>
      <w:r w:rsidR="00EB65AE" w:rsidRPr="00200D67">
        <w:rPr>
          <w:rFonts w:ascii="Bookman Old Style" w:hAnsi="Bookman Old Style"/>
        </w:rPr>
        <w:t xml:space="preserve"> </w:t>
      </w:r>
      <w:r w:rsidR="00330870" w:rsidRPr="00200D67">
        <w:rPr>
          <w:rFonts w:ascii="Bookman Old Style" w:hAnsi="Bookman Old Style"/>
        </w:rPr>
        <w:t xml:space="preserve">que podría </w:t>
      </w:r>
      <w:r w:rsidR="00EE5605" w:rsidRPr="00200D67">
        <w:rPr>
          <w:rFonts w:ascii="Bookman Old Style" w:hAnsi="Bookman Old Style"/>
        </w:rPr>
        <w:t>afectar</w:t>
      </w:r>
      <w:r w:rsidR="00330870" w:rsidRPr="00200D67">
        <w:rPr>
          <w:rFonts w:ascii="Bookman Old Style" w:hAnsi="Bookman Old Style"/>
        </w:rPr>
        <w:t xml:space="preserve"> la prestación del servicio de energía eléctrica en algunos mercado</w:t>
      </w:r>
      <w:r w:rsidR="002235AA" w:rsidRPr="00200D67">
        <w:rPr>
          <w:rFonts w:ascii="Bookman Old Style" w:hAnsi="Bookman Old Style"/>
        </w:rPr>
        <w:t>s</w:t>
      </w:r>
      <w:r w:rsidR="00DF2B46">
        <w:rPr>
          <w:rFonts w:ascii="Bookman Old Style" w:hAnsi="Bookman Old Style"/>
        </w:rPr>
        <w:t>.</w:t>
      </w:r>
      <w:r w:rsidR="00330870" w:rsidRPr="00200D67">
        <w:rPr>
          <w:rFonts w:ascii="Bookman Old Style" w:hAnsi="Bookman Old Style"/>
        </w:rPr>
        <w:t xml:space="preserve"> </w:t>
      </w:r>
    </w:p>
    <w:p w14:paraId="2E3D72A4" w14:textId="77777777" w:rsidR="00916621" w:rsidRDefault="007770CE" w:rsidP="00200D67">
      <w:pPr>
        <w:spacing w:before="240" w:after="240"/>
        <w:ind w:left="0"/>
        <w:jc w:val="both"/>
        <w:rPr>
          <w:rFonts w:ascii="Bookman Old Style" w:hAnsi="Bookman Old Style"/>
        </w:rPr>
      </w:pPr>
      <w:r w:rsidRPr="00200D67">
        <w:rPr>
          <w:rFonts w:ascii="Bookman Old Style" w:hAnsi="Bookman Old Style"/>
        </w:rPr>
        <w:t xml:space="preserve">Al respecto, </w:t>
      </w:r>
      <w:r w:rsidR="00902F23" w:rsidRPr="00200D67">
        <w:rPr>
          <w:rFonts w:ascii="Bookman Old Style" w:hAnsi="Bookman Old Style"/>
        </w:rPr>
        <w:t xml:space="preserve">algunos </w:t>
      </w:r>
      <w:r w:rsidR="00276C6D">
        <w:rPr>
          <w:rFonts w:ascii="Bookman Old Style" w:hAnsi="Bookman Old Style"/>
        </w:rPr>
        <w:t>gre</w:t>
      </w:r>
      <w:r w:rsidR="00E91A4A">
        <w:rPr>
          <w:rFonts w:ascii="Bookman Old Style" w:hAnsi="Bookman Old Style"/>
        </w:rPr>
        <w:t xml:space="preserve">mios y </w:t>
      </w:r>
      <w:r w:rsidR="00902F23" w:rsidRPr="00200D67">
        <w:rPr>
          <w:rFonts w:ascii="Bookman Old Style" w:hAnsi="Bookman Old Style"/>
        </w:rPr>
        <w:t xml:space="preserve">agentes </w:t>
      </w:r>
      <w:r w:rsidR="00425F30" w:rsidRPr="00200D67">
        <w:rPr>
          <w:rFonts w:ascii="Bookman Old Style" w:hAnsi="Bookman Old Style"/>
        </w:rPr>
        <w:t>del sector</w:t>
      </w:r>
      <w:r w:rsidR="00E91A4A">
        <w:rPr>
          <w:rFonts w:ascii="Bookman Old Style" w:hAnsi="Bookman Old Style"/>
        </w:rPr>
        <w:t xml:space="preserve"> </w:t>
      </w:r>
      <w:r w:rsidR="001B749B">
        <w:rPr>
          <w:rFonts w:ascii="Bookman Old Style" w:hAnsi="Bookman Old Style"/>
        </w:rPr>
        <w:t xml:space="preserve">han manifestado </w:t>
      </w:r>
      <w:r w:rsidR="00B85B43">
        <w:rPr>
          <w:rFonts w:ascii="Bookman Old Style" w:hAnsi="Bookman Old Style"/>
        </w:rPr>
        <w:t xml:space="preserve">alternativas </w:t>
      </w:r>
      <w:r w:rsidR="00E91A4A">
        <w:rPr>
          <w:rFonts w:ascii="Bookman Old Style" w:hAnsi="Bookman Old Style"/>
        </w:rPr>
        <w:t xml:space="preserve">ante la situación que </w:t>
      </w:r>
      <w:r w:rsidR="00E36114">
        <w:rPr>
          <w:rFonts w:ascii="Bookman Old Style" w:hAnsi="Bookman Old Style"/>
        </w:rPr>
        <w:t xml:space="preserve">se </w:t>
      </w:r>
      <w:r w:rsidR="00E91A4A">
        <w:rPr>
          <w:rFonts w:ascii="Bookman Old Style" w:hAnsi="Bookman Old Style"/>
        </w:rPr>
        <w:t xml:space="preserve">ha presentado por el efecto combinado de </w:t>
      </w:r>
      <w:r w:rsidR="007D25DB">
        <w:rPr>
          <w:rFonts w:ascii="Bookman Old Style" w:hAnsi="Bookman Old Style"/>
        </w:rPr>
        <w:t>los saldos acumulados</w:t>
      </w:r>
      <w:r w:rsidR="00573A59">
        <w:rPr>
          <w:rFonts w:ascii="Bookman Old Style" w:hAnsi="Bookman Old Style"/>
        </w:rPr>
        <w:t xml:space="preserve">, </w:t>
      </w:r>
      <w:r w:rsidR="00993F93">
        <w:rPr>
          <w:rFonts w:ascii="Bookman Old Style" w:hAnsi="Bookman Old Style"/>
        </w:rPr>
        <w:t>la aplicación de la variable AJ del componente de generación en el Costo Unitario,</w:t>
      </w:r>
      <w:r w:rsidR="007D25DB">
        <w:rPr>
          <w:rFonts w:ascii="Bookman Old Style" w:hAnsi="Bookman Old Style"/>
        </w:rPr>
        <w:t xml:space="preserve"> y la presencia del fenómeno de El Niño</w:t>
      </w:r>
      <w:r w:rsidR="00B85B43">
        <w:rPr>
          <w:rFonts w:ascii="Bookman Old Style" w:hAnsi="Bookman Old Style"/>
        </w:rPr>
        <w:t xml:space="preserve">. </w:t>
      </w:r>
    </w:p>
    <w:p w14:paraId="79CCB3F3" w14:textId="62B80438" w:rsidR="007770CE" w:rsidRDefault="00425F30" w:rsidP="00200D67">
      <w:pPr>
        <w:spacing w:before="240" w:after="240"/>
        <w:ind w:left="0"/>
        <w:jc w:val="both"/>
        <w:rPr>
          <w:rFonts w:ascii="Bookman Old Style" w:hAnsi="Bookman Old Style"/>
          <w:b/>
          <w:bCs/>
        </w:rPr>
      </w:pPr>
      <w:proofErr w:type="spellStart"/>
      <w:r w:rsidRPr="00200D67">
        <w:rPr>
          <w:rFonts w:ascii="Bookman Old Style" w:hAnsi="Bookman Old Style"/>
        </w:rPr>
        <w:t>Acolgen</w:t>
      </w:r>
      <w:proofErr w:type="spellEnd"/>
      <w:r w:rsidR="003173FE">
        <w:rPr>
          <w:rFonts w:ascii="Bookman Old Style" w:hAnsi="Bookman Old Style"/>
        </w:rPr>
        <w:t xml:space="preserve"> ( E</w:t>
      </w:r>
      <w:r w:rsidR="00CD3423">
        <w:rPr>
          <w:rFonts w:ascii="Bookman Old Style" w:hAnsi="Bookman Old Style"/>
        </w:rPr>
        <w:t>2023-004453)</w:t>
      </w:r>
      <w:r w:rsidR="009930E4">
        <w:rPr>
          <w:rFonts w:ascii="Bookman Old Style" w:hAnsi="Bookman Old Style"/>
        </w:rPr>
        <w:t xml:space="preserve">, </w:t>
      </w:r>
      <w:r w:rsidRPr="00200D67">
        <w:rPr>
          <w:rFonts w:ascii="Bookman Old Style" w:hAnsi="Bookman Old Style"/>
        </w:rPr>
        <w:t>Celsia</w:t>
      </w:r>
      <w:r w:rsidR="00CD3423">
        <w:rPr>
          <w:rFonts w:ascii="Bookman Old Style" w:hAnsi="Bookman Old Style"/>
        </w:rPr>
        <w:t xml:space="preserve">( presentación remitida por el </w:t>
      </w:r>
      <w:r w:rsidR="00161BCA">
        <w:rPr>
          <w:rFonts w:ascii="Bookman Old Style" w:hAnsi="Bookman Old Style"/>
        </w:rPr>
        <w:t>M</w:t>
      </w:r>
      <w:r w:rsidR="00CD3423">
        <w:rPr>
          <w:rFonts w:ascii="Bookman Old Style" w:hAnsi="Bookman Old Style"/>
        </w:rPr>
        <w:t xml:space="preserve">inisterio de Minas y Energía) </w:t>
      </w:r>
      <w:r w:rsidR="009A385F">
        <w:rPr>
          <w:rFonts w:ascii="Bookman Old Style" w:hAnsi="Bookman Old Style"/>
        </w:rPr>
        <w:t xml:space="preserve"> y el Comité Asesor de la Comerciali</w:t>
      </w:r>
      <w:r w:rsidR="0003465F">
        <w:rPr>
          <w:rFonts w:ascii="Bookman Old Style" w:hAnsi="Bookman Old Style"/>
        </w:rPr>
        <w:t>zación (CAC)</w:t>
      </w:r>
      <w:r w:rsidR="00CD3423">
        <w:rPr>
          <w:rFonts w:ascii="Bookman Old Style" w:hAnsi="Bookman Old Style"/>
        </w:rPr>
        <w:t>(E-2023-018169)</w:t>
      </w:r>
      <w:r w:rsidR="00FE0CDD" w:rsidRPr="00200D67">
        <w:rPr>
          <w:rFonts w:ascii="Bookman Old Style" w:hAnsi="Bookman Old Style"/>
        </w:rPr>
        <w:t xml:space="preserve"> </w:t>
      </w:r>
      <w:r w:rsidR="00902F23" w:rsidRPr="00200D67">
        <w:rPr>
          <w:rFonts w:ascii="Bookman Old Style" w:hAnsi="Bookman Old Style"/>
        </w:rPr>
        <w:t xml:space="preserve">han propuesto al gobierno y al regulador </w:t>
      </w:r>
      <w:r w:rsidR="00FA16E7" w:rsidRPr="00200D67">
        <w:rPr>
          <w:rFonts w:ascii="Bookman Old Style" w:hAnsi="Bookman Old Style"/>
        </w:rPr>
        <w:t>diferentes medidas</w:t>
      </w:r>
      <w:r w:rsidR="00C1602E">
        <w:rPr>
          <w:rFonts w:ascii="Bookman Old Style" w:hAnsi="Bookman Old Style"/>
        </w:rPr>
        <w:t xml:space="preserve"> </w:t>
      </w:r>
      <w:r w:rsidR="006B7EDA">
        <w:rPr>
          <w:rFonts w:ascii="Bookman Old Style" w:hAnsi="Bookman Old Style"/>
        </w:rPr>
        <w:t>como</w:t>
      </w:r>
      <w:r w:rsidR="005E132F">
        <w:rPr>
          <w:rFonts w:ascii="Bookman Old Style" w:hAnsi="Bookman Old Style"/>
        </w:rPr>
        <w:t>:</w:t>
      </w:r>
      <w:r w:rsidR="006B7EDA">
        <w:rPr>
          <w:rFonts w:ascii="Bookman Old Style" w:hAnsi="Bookman Old Style"/>
        </w:rPr>
        <w:t xml:space="preserve"> la </w:t>
      </w:r>
      <w:r w:rsidR="00C17C27">
        <w:rPr>
          <w:rFonts w:ascii="Bookman Old Style" w:hAnsi="Bookman Old Style"/>
        </w:rPr>
        <w:t>recuperación de los saldos acumulados con la opción tarifaria</w:t>
      </w:r>
      <w:r w:rsidR="00AC1FC3">
        <w:rPr>
          <w:rFonts w:ascii="Bookman Old Style" w:hAnsi="Bookman Old Style"/>
        </w:rPr>
        <w:t xml:space="preserve">, mecanismo que ya fue previsto </w:t>
      </w:r>
      <w:r w:rsidR="00A66BA4">
        <w:rPr>
          <w:rFonts w:ascii="Bookman Old Style" w:hAnsi="Bookman Old Style"/>
        </w:rPr>
        <w:t>en la Resoluci</w:t>
      </w:r>
      <w:r w:rsidR="00916621">
        <w:rPr>
          <w:rFonts w:ascii="Bookman Old Style" w:hAnsi="Bookman Old Style"/>
        </w:rPr>
        <w:t xml:space="preserve">ones </w:t>
      </w:r>
      <w:r w:rsidR="00A66BA4">
        <w:rPr>
          <w:rFonts w:ascii="Bookman Old Style" w:hAnsi="Bookman Old Style"/>
        </w:rPr>
        <w:t>CREG</w:t>
      </w:r>
      <w:r w:rsidR="00273082">
        <w:rPr>
          <w:rFonts w:ascii="Bookman Old Style" w:hAnsi="Bookman Old Style"/>
        </w:rPr>
        <w:t xml:space="preserve"> 101 </w:t>
      </w:r>
      <w:r w:rsidR="00F130AD">
        <w:rPr>
          <w:rFonts w:ascii="Bookman Old Style" w:hAnsi="Bookman Old Style"/>
        </w:rPr>
        <w:t>02</w:t>
      </w:r>
      <w:r w:rsidR="00AB7545">
        <w:rPr>
          <w:rFonts w:ascii="Bookman Old Style" w:hAnsi="Bookman Old Style"/>
        </w:rPr>
        <w:t xml:space="preserve">8 y CREG 101 029 </w:t>
      </w:r>
      <w:r w:rsidR="00F130AD">
        <w:rPr>
          <w:rFonts w:ascii="Bookman Old Style" w:hAnsi="Bookman Old Style"/>
        </w:rPr>
        <w:t>de 2023</w:t>
      </w:r>
      <w:r w:rsidR="00DA006C">
        <w:rPr>
          <w:rFonts w:ascii="Bookman Old Style" w:hAnsi="Bookman Old Style"/>
        </w:rPr>
        <w:t xml:space="preserve">, </w:t>
      </w:r>
      <w:r w:rsidR="009B63E1">
        <w:rPr>
          <w:rFonts w:ascii="Bookman Old Style" w:hAnsi="Bookman Old Style"/>
        </w:rPr>
        <w:t xml:space="preserve">habilitar </w:t>
      </w:r>
      <w:r w:rsidR="00B3455C">
        <w:rPr>
          <w:rFonts w:ascii="Bookman Old Style" w:hAnsi="Bookman Old Style"/>
        </w:rPr>
        <w:t xml:space="preserve">un </w:t>
      </w:r>
      <w:r w:rsidR="009B63E1">
        <w:rPr>
          <w:rFonts w:ascii="Bookman Old Style" w:hAnsi="Bookman Old Style"/>
        </w:rPr>
        <w:t xml:space="preserve">mecanismo </w:t>
      </w:r>
      <w:r w:rsidR="00EE6B46">
        <w:rPr>
          <w:rFonts w:ascii="Bookman Old Style" w:hAnsi="Bookman Old Style"/>
        </w:rPr>
        <w:t>centralizado y volu</w:t>
      </w:r>
      <w:r w:rsidR="005E132F">
        <w:rPr>
          <w:rFonts w:ascii="Bookman Old Style" w:hAnsi="Bookman Old Style"/>
        </w:rPr>
        <w:t>n</w:t>
      </w:r>
      <w:r w:rsidR="00EE6B46">
        <w:rPr>
          <w:rFonts w:ascii="Bookman Old Style" w:hAnsi="Bookman Old Style"/>
        </w:rPr>
        <w:t xml:space="preserve">tario </w:t>
      </w:r>
      <w:r w:rsidR="00640CF5">
        <w:rPr>
          <w:rFonts w:ascii="Bookman Old Style" w:hAnsi="Bookman Old Style"/>
        </w:rPr>
        <w:t xml:space="preserve">para la </w:t>
      </w:r>
      <w:r w:rsidR="006B7EDA">
        <w:rPr>
          <w:rFonts w:ascii="Bookman Old Style" w:hAnsi="Bookman Old Style"/>
        </w:rPr>
        <w:t>contratación</w:t>
      </w:r>
      <w:r w:rsidR="00916621">
        <w:rPr>
          <w:rFonts w:ascii="Bookman Old Style" w:hAnsi="Bookman Old Style"/>
        </w:rPr>
        <w:t xml:space="preserve">, </w:t>
      </w:r>
      <w:r w:rsidR="003671B8">
        <w:rPr>
          <w:rFonts w:ascii="Bookman Old Style" w:hAnsi="Bookman Old Style"/>
        </w:rPr>
        <w:t>mecanismo en consulta con la Resolución CREG 701 02</w:t>
      </w:r>
      <w:r w:rsidR="00F5086F">
        <w:rPr>
          <w:rFonts w:ascii="Bookman Old Style" w:hAnsi="Bookman Old Style"/>
        </w:rPr>
        <w:t>1</w:t>
      </w:r>
      <w:r w:rsidR="003671B8">
        <w:rPr>
          <w:rFonts w:ascii="Bookman Old Style" w:hAnsi="Bookman Old Style"/>
        </w:rPr>
        <w:t xml:space="preserve"> de 2023,</w:t>
      </w:r>
      <w:r w:rsidR="006B7EDA">
        <w:rPr>
          <w:rFonts w:ascii="Bookman Old Style" w:hAnsi="Bookman Old Style"/>
        </w:rPr>
        <w:t xml:space="preserve"> y la definición de un tope </w:t>
      </w:r>
      <w:r w:rsidR="00BC71D1">
        <w:rPr>
          <w:rFonts w:ascii="Bookman Old Style" w:hAnsi="Bookman Old Style"/>
        </w:rPr>
        <w:t xml:space="preserve">temporal </w:t>
      </w:r>
      <w:r w:rsidR="006B7EDA">
        <w:rPr>
          <w:rFonts w:ascii="Bookman Old Style" w:hAnsi="Bookman Old Style"/>
        </w:rPr>
        <w:t>a l</w:t>
      </w:r>
      <w:r w:rsidR="004E4D10">
        <w:rPr>
          <w:rFonts w:ascii="Bookman Old Style" w:hAnsi="Bookman Old Style"/>
        </w:rPr>
        <w:t>os precios en bolsa</w:t>
      </w:r>
      <w:r w:rsidR="00BC153E">
        <w:rPr>
          <w:rFonts w:ascii="Bookman Old Style" w:hAnsi="Bookman Old Style"/>
        </w:rPr>
        <w:t xml:space="preserve">, mecanismo que es sujeto de análisis </w:t>
      </w:r>
      <w:r w:rsidR="00811D5F">
        <w:rPr>
          <w:rFonts w:ascii="Bookman Old Style" w:hAnsi="Bookman Old Style"/>
        </w:rPr>
        <w:t>en la presente resolución</w:t>
      </w:r>
      <w:r w:rsidR="006B7EDA">
        <w:rPr>
          <w:rFonts w:ascii="Bookman Old Style" w:hAnsi="Bookman Old Style"/>
        </w:rPr>
        <w:t>.</w:t>
      </w:r>
    </w:p>
    <w:p w14:paraId="523031B5" w14:textId="3C4985CF" w:rsidR="006C4708" w:rsidRPr="00200D67" w:rsidRDefault="006C4708" w:rsidP="00200D67">
      <w:pPr>
        <w:spacing w:before="240" w:after="240"/>
        <w:ind w:left="0"/>
        <w:jc w:val="both"/>
        <w:rPr>
          <w:rFonts w:ascii="Bookman Old Style" w:hAnsi="Bookman Old Style"/>
        </w:rPr>
      </w:pPr>
      <w:r w:rsidRPr="00200D67">
        <w:rPr>
          <w:rFonts w:ascii="Bookman Old Style" w:hAnsi="Bookman Old Style"/>
        </w:rPr>
        <w:t xml:space="preserve">Por otra parte, la </w:t>
      </w:r>
      <w:r w:rsidR="00E3394A">
        <w:rPr>
          <w:rFonts w:ascii="Bookman Old Style" w:hAnsi="Bookman Old Style"/>
        </w:rPr>
        <w:t>Su</w:t>
      </w:r>
      <w:r w:rsidR="0013209D">
        <w:rPr>
          <w:rFonts w:ascii="Bookman Old Style" w:hAnsi="Bookman Old Style"/>
        </w:rPr>
        <w:t>per</w:t>
      </w:r>
      <w:r w:rsidR="00E3394A">
        <w:rPr>
          <w:rFonts w:ascii="Bookman Old Style" w:hAnsi="Bookman Old Style"/>
        </w:rPr>
        <w:t>int</w:t>
      </w:r>
      <w:r w:rsidR="0013209D">
        <w:rPr>
          <w:rFonts w:ascii="Bookman Old Style" w:hAnsi="Bookman Old Style"/>
        </w:rPr>
        <w:t>e</w:t>
      </w:r>
      <w:r w:rsidR="00E3394A">
        <w:rPr>
          <w:rFonts w:ascii="Bookman Old Style" w:hAnsi="Bookman Old Style"/>
        </w:rPr>
        <w:t>ndencia de Servicios Públicos Domiciliarios (</w:t>
      </w:r>
      <w:r w:rsidRPr="00200D67">
        <w:rPr>
          <w:rFonts w:ascii="Bookman Old Style" w:hAnsi="Bookman Old Style"/>
        </w:rPr>
        <w:t>SSPD</w:t>
      </w:r>
      <w:r w:rsidR="00E3394A">
        <w:rPr>
          <w:rFonts w:ascii="Bookman Old Style" w:hAnsi="Bookman Old Style"/>
        </w:rPr>
        <w:t>)</w:t>
      </w:r>
      <w:r w:rsidRPr="00200D67">
        <w:rPr>
          <w:rFonts w:ascii="Bookman Old Style" w:hAnsi="Bookman Old Style"/>
        </w:rPr>
        <w:t xml:space="preserve"> en comunic</w:t>
      </w:r>
      <w:r w:rsidR="0052156B" w:rsidRPr="00200D67">
        <w:rPr>
          <w:rFonts w:ascii="Bookman Old Style" w:hAnsi="Bookman Old Style"/>
        </w:rPr>
        <w:t>ac</w:t>
      </w:r>
      <w:r w:rsidRPr="00200D67">
        <w:rPr>
          <w:rFonts w:ascii="Bookman Old Style" w:hAnsi="Bookman Old Style"/>
        </w:rPr>
        <w:t>ión con radicado</w:t>
      </w:r>
      <w:r w:rsidR="0052156B" w:rsidRPr="00200D67">
        <w:rPr>
          <w:rFonts w:ascii="Bookman Old Style" w:hAnsi="Bookman Old Style"/>
        </w:rPr>
        <w:t xml:space="preserve"> </w:t>
      </w:r>
      <w:r w:rsidR="0061509C" w:rsidRPr="00200D67">
        <w:rPr>
          <w:rFonts w:ascii="Bookman Old Style" w:hAnsi="Bookman Old Style"/>
        </w:rPr>
        <w:t xml:space="preserve">20232204825411 </w:t>
      </w:r>
      <w:r w:rsidR="0052156B" w:rsidRPr="00200D67">
        <w:rPr>
          <w:rFonts w:ascii="Bookman Old Style" w:hAnsi="Bookman Old Style"/>
        </w:rPr>
        <w:t>de</w:t>
      </w:r>
      <w:r w:rsidR="0061509C" w:rsidRPr="00200D67">
        <w:rPr>
          <w:rFonts w:ascii="Bookman Old Style" w:hAnsi="Bookman Old Style"/>
        </w:rPr>
        <w:t>l 8 de diciembre de</w:t>
      </w:r>
      <w:r w:rsidR="0052156B" w:rsidRPr="00200D67">
        <w:rPr>
          <w:rFonts w:ascii="Bookman Old Style" w:hAnsi="Bookman Old Style"/>
        </w:rPr>
        <w:t xml:space="preserve"> 2023</w:t>
      </w:r>
      <w:r w:rsidR="0013209D">
        <w:rPr>
          <w:rFonts w:ascii="Bookman Old Style" w:hAnsi="Bookman Old Style"/>
        </w:rPr>
        <w:t xml:space="preserve"> enviado a la Comisión, </w:t>
      </w:r>
      <w:r w:rsidR="00903ACE" w:rsidRPr="00200D67">
        <w:rPr>
          <w:rFonts w:ascii="Bookman Old Style" w:hAnsi="Bookman Old Style"/>
        </w:rPr>
        <w:t xml:space="preserve">hace un recuento del comportamiento del precio de bolsa actual y </w:t>
      </w:r>
      <w:r w:rsidR="00443429" w:rsidRPr="00200D67">
        <w:rPr>
          <w:rFonts w:ascii="Bookman Old Style" w:hAnsi="Bookman Old Style"/>
        </w:rPr>
        <w:t>l</w:t>
      </w:r>
      <w:r w:rsidR="00903ACE" w:rsidRPr="00200D67">
        <w:rPr>
          <w:rFonts w:ascii="Bookman Old Style" w:hAnsi="Bookman Old Style"/>
        </w:rPr>
        <w:t xml:space="preserve">os </w:t>
      </w:r>
      <w:r w:rsidR="00443429" w:rsidRPr="00200D67">
        <w:rPr>
          <w:rFonts w:ascii="Bookman Old Style" w:hAnsi="Bookman Old Style"/>
        </w:rPr>
        <w:t>fenómeno</w:t>
      </w:r>
      <w:r w:rsidR="00AF48E5" w:rsidRPr="00200D67">
        <w:rPr>
          <w:rFonts w:ascii="Bookman Old Style" w:hAnsi="Bookman Old Style"/>
        </w:rPr>
        <w:t>s</w:t>
      </w:r>
      <w:r w:rsidR="00443429" w:rsidRPr="00200D67">
        <w:rPr>
          <w:rFonts w:ascii="Bookman Old Style" w:hAnsi="Bookman Old Style"/>
        </w:rPr>
        <w:t xml:space="preserve"> de El Niño anteriores, y </w:t>
      </w:r>
      <w:r w:rsidR="00F635B8" w:rsidRPr="00200D67">
        <w:rPr>
          <w:rFonts w:ascii="Bookman Old Style" w:hAnsi="Bookman Old Style"/>
        </w:rPr>
        <w:t xml:space="preserve">sugiere a la Comisión </w:t>
      </w:r>
      <w:r w:rsidR="00BD640E" w:rsidRPr="00200D67">
        <w:rPr>
          <w:rFonts w:ascii="Bookman Old Style" w:hAnsi="Bookman Old Style"/>
        </w:rPr>
        <w:t>“</w:t>
      </w:r>
      <w:r w:rsidR="009331A7" w:rsidRPr="00200D67">
        <w:rPr>
          <w:rFonts w:ascii="Bookman Old Style" w:hAnsi="Bookman Old Style"/>
        </w:rPr>
        <w:t>…</w:t>
      </w:r>
      <w:r w:rsidR="00BD640E" w:rsidRPr="00200D67">
        <w:rPr>
          <w:rStyle w:val="ui-provider"/>
          <w:rFonts w:ascii="Bookman Old Style" w:hAnsi="Bookman Old Style"/>
          <w:i/>
          <w:iCs/>
        </w:rPr>
        <w:t>tener en cuenta en el desarrollo de su gestión regulatoria, acciones y propuestas</w:t>
      </w:r>
      <w:r w:rsidR="007B2796" w:rsidRPr="00200D67">
        <w:rPr>
          <w:rStyle w:val="ui-provider"/>
          <w:rFonts w:ascii="Bookman Old Style" w:hAnsi="Bookman Old Style"/>
          <w:i/>
          <w:iCs/>
        </w:rPr>
        <w:t xml:space="preserve"> </w:t>
      </w:r>
      <w:r w:rsidR="00BD640E" w:rsidRPr="00200D67">
        <w:rPr>
          <w:rStyle w:val="ui-provider"/>
          <w:rFonts w:ascii="Bookman Old Style" w:hAnsi="Bookman Old Style"/>
          <w:i/>
          <w:iCs/>
        </w:rPr>
        <w:t>enfocadas en garantizar precios eficientes para el mercado con el fin de garantizar la</w:t>
      </w:r>
      <w:r w:rsidR="009331A7" w:rsidRPr="00200D67">
        <w:rPr>
          <w:rStyle w:val="ui-provider"/>
          <w:rFonts w:ascii="Bookman Old Style" w:hAnsi="Bookman Old Style"/>
          <w:i/>
          <w:iCs/>
        </w:rPr>
        <w:t xml:space="preserve"> </w:t>
      </w:r>
      <w:r w:rsidR="00BD640E" w:rsidRPr="00200D67">
        <w:rPr>
          <w:rStyle w:val="ui-provider"/>
          <w:rFonts w:ascii="Bookman Old Style" w:hAnsi="Bookman Old Style"/>
          <w:i/>
          <w:iCs/>
        </w:rPr>
        <w:t>prestación optima y confiable del servicio de energía eléctrica a los usuarios finales con</w:t>
      </w:r>
      <w:r w:rsidR="009331A7" w:rsidRPr="00200D67">
        <w:rPr>
          <w:rStyle w:val="ui-provider"/>
          <w:rFonts w:ascii="Bookman Old Style" w:hAnsi="Bookman Old Style"/>
          <w:i/>
          <w:iCs/>
        </w:rPr>
        <w:t xml:space="preserve"> </w:t>
      </w:r>
      <w:r w:rsidR="00BD640E" w:rsidRPr="00200D67">
        <w:rPr>
          <w:rStyle w:val="ui-provider"/>
          <w:rFonts w:ascii="Bookman Old Style" w:hAnsi="Bookman Old Style"/>
          <w:i/>
          <w:iCs/>
        </w:rPr>
        <w:t>precios adecuados para la demanda</w:t>
      </w:r>
      <w:r w:rsidR="00BD640E" w:rsidRPr="00200D67">
        <w:rPr>
          <w:rFonts w:ascii="Bookman Old Style" w:hAnsi="Bookman Old Style"/>
        </w:rPr>
        <w:t>”.</w:t>
      </w:r>
    </w:p>
    <w:p w14:paraId="4E628026" w14:textId="1D17709B" w:rsidR="00776C3A" w:rsidRPr="00776C3A" w:rsidRDefault="009624B0" w:rsidP="00200D67">
      <w:pPr>
        <w:spacing w:before="240" w:after="240"/>
        <w:ind w:left="0"/>
        <w:jc w:val="both"/>
        <w:rPr>
          <w:rFonts w:ascii="Bookman Old Style" w:hAnsi="Bookman Old Style"/>
          <w:lang w:val="es-CO"/>
        </w:rPr>
      </w:pPr>
      <w:r w:rsidRPr="00200D67">
        <w:rPr>
          <w:rFonts w:ascii="Bookman Old Style" w:hAnsi="Bookman Old Style"/>
          <w:lang w:val="es-CO"/>
        </w:rPr>
        <w:t xml:space="preserve">Considerando todo lo anterior, </w:t>
      </w:r>
      <w:r w:rsidR="0065279F" w:rsidRPr="00200D67">
        <w:rPr>
          <w:rFonts w:ascii="Bookman Old Style" w:hAnsi="Bookman Old Style"/>
          <w:lang w:val="es-CO"/>
        </w:rPr>
        <w:t xml:space="preserve">la CREG ha definido </w:t>
      </w:r>
      <w:r w:rsidR="00A51365" w:rsidRPr="00200D67">
        <w:rPr>
          <w:rFonts w:ascii="Bookman Old Style" w:hAnsi="Bookman Old Style"/>
          <w:lang w:val="es-CO"/>
        </w:rPr>
        <w:t>tomar medidas para m</w:t>
      </w:r>
      <w:r w:rsidR="00776C3A" w:rsidRPr="00776C3A">
        <w:rPr>
          <w:rFonts w:ascii="Bookman Old Style" w:hAnsi="Bookman Old Style"/>
          <w:lang w:val="es-CO"/>
        </w:rPr>
        <w:t>antener la formación eficiente del precio de bolsa durante el período del fenómeno de El</w:t>
      </w:r>
      <w:r w:rsidR="00926A71">
        <w:rPr>
          <w:rFonts w:ascii="Bookman Old Style" w:hAnsi="Bookman Old Style"/>
          <w:lang w:val="es-CO"/>
        </w:rPr>
        <w:t xml:space="preserve"> Niño</w:t>
      </w:r>
      <w:r w:rsidR="00776C3A" w:rsidRPr="00776C3A">
        <w:rPr>
          <w:rFonts w:ascii="Bookman Old Style" w:hAnsi="Bookman Old Style"/>
          <w:lang w:val="es-CO"/>
        </w:rPr>
        <w:t xml:space="preserve"> 2023-2024</w:t>
      </w:r>
      <w:r w:rsidR="00DD2325">
        <w:rPr>
          <w:rFonts w:ascii="Bookman Old Style" w:hAnsi="Bookman Old Style"/>
          <w:lang w:val="es-CO"/>
        </w:rPr>
        <w:t>,</w:t>
      </w:r>
      <w:r w:rsidR="00776C3A" w:rsidRPr="00776C3A">
        <w:rPr>
          <w:rFonts w:ascii="Bookman Old Style" w:hAnsi="Bookman Old Style"/>
          <w:lang w:val="es-CO"/>
        </w:rPr>
        <w:t xml:space="preserve"> dada la disminución en la oferta de energía en el sistema</w:t>
      </w:r>
      <w:r w:rsidR="0017594B">
        <w:rPr>
          <w:rFonts w:ascii="Bookman Old Style" w:hAnsi="Bookman Old Style"/>
          <w:lang w:val="es-CO"/>
        </w:rPr>
        <w:t xml:space="preserve"> y los</w:t>
      </w:r>
      <w:r w:rsidR="002C5FB8">
        <w:rPr>
          <w:rFonts w:ascii="Bookman Old Style" w:hAnsi="Bookman Old Style"/>
          <w:lang w:val="es-CO"/>
        </w:rPr>
        <w:t xml:space="preserve"> </w:t>
      </w:r>
      <w:r w:rsidR="0017594B">
        <w:rPr>
          <w:rFonts w:ascii="Bookman Old Style" w:hAnsi="Bookman Old Style"/>
          <w:lang w:val="es-CO"/>
        </w:rPr>
        <w:t>po</w:t>
      </w:r>
      <w:r w:rsidR="002C5FB8">
        <w:rPr>
          <w:rFonts w:ascii="Bookman Old Style" w:hAnsi="Bookman Old Style"/>
          <w:lang w:val="es-CO"/>
        </w:rPr>
        <w:t>s</w:t>
      </w:r>
      <w:r w:rsidR="0017594B">
        <w:rPr>
          <w:rFonts w:ascii="Bookman Old Style" w:hAnsi="Bookman Old Style"/>
          <w:lang w:val="es-CO"/>
        </w:rPr>
        <w:t xml:space="preserve">ibles impactos en la acumulación de saldo </w:t>
      </w:r>
      <w:r w:rsidR="002C5FB8">
        <w:rPr>
          <w:rFonts w:ascii="Bookman Old Style" w:hAnsi="Bookman Old Style"/>
          <w:lang w:val="es-CO"/>
        </w:rPr>
        <w:t>en la continuidad de la prestación del servicio.</w:t>
      </w:r>
      <w:r w:rsidR="00DF2B46">
        <w:rPr>
          <w:rFonts w:ascii="Bookman Old Style" w:hAnsi="Bookman Old Style"/>
          <w:lang w:val="es-CO"/>
        </w:rPr>
        <w:t xml:space="preserve"> </w:t>
      </w:r>
      <w:r w:rsidR="00DF2B46">
        <w:rPr>
          <w:rFonts w:ascii="Bookman Old Style" w:hAnsi="Bookman Old Style"/>
        </w:rPr>
        <w:t>En todo caso se garantiza a os generadores la recuperación de los costos económicos de su operación.</w:t>
      </w:r>
    </w:p>
    <w:p w14:paraId="40F60B52" w14:textId="7DDA5123" w:rsidR="00DD6FDE" w:rsidRDefault="00B70507" w:rsidP="00200D67">
      <w:pPr>
        <w:spacing w:before="240" w:after="240"/>
        <w:ind w:left="0"/>
        <w:jc w:val="both"/>
        <w:rPr>
          <w:rFonts w:ascii="Bookman Old Style" w:hAnsi="Bookman Old Style"/>
          <w:highlight w:val="yellow"/>
        </w:rPr>
      </w:pPr>
      <w:r w:rsidRPr="00C85BF0">
        <w:rPr>
          <w:rFonts w:ascii="Bookman Old Style" w:hAnsi="Bookman Old Style"/>
        </w:rPr>
        <w:t>De conformidad con lo señalado en el artículo 34</w:t>
      </w:r>
      <w:r w:rsidR="008966D1">
        <w:rPr>
          <w:rFonts w:ascii="Bookman Old Style" w:hAnsi="Bookman Old Style"/>
        </w:rPr>
        <w:t>, numeral</w:t>
      </w:r>
      <w:r w:rsidR="00B56D83">
        <w:rPr>
          <w:rFonts w:ascii="Bookman Old Style" w:hAnsi="Bookman Old Style"/>
        </w:rPr>
        <w:t xml:space="preserve"> 2,</w:t>
      </w:r>
      <w:r w:rsidRPr="00C85BF0">
        <w:rPr>
          <w:rFonts w:ascii="Bookman Old Style" w:hAnsi="Bookman Old Style"/>
        </w:rPr>
        <w:t xml:space="preserve"> del </w:t>
      </w:r>
      <w:r w:rsidR="00860A8C" w:rsidRPr="00C85BF0">
        <w:rPr>
          <w:rFonts w:ascii="Bookman Old Style" w:hAnsi="Bookman Old Style"/>
        </w:rPr>
        <w:t>Reglamento Interno de la C</w:t>
      </w:r>
      <w:r w:rsidR="006C2EDE" w:rsidRPr="00C85BF0">
        <w:rPr>
          <w:rFonts w:ascii="Bookman Old Style" w:hAnsi="Bookman Old Style"/>
        </w:rPr>
        <w:t>REG</w:t>
      </w:r>
      <w:r w:rsidR="00860A8C" w:rsidRPr="00C85BF0">
        <w:rPr>
          <w:rFonts w:ascii="Bookman Old Style" w:hAnsi="Bookman Old Style"/>
        </w:rPr>
        <w:t xml:space="preserve">, Resolución CREG 105 003 de 2023, </w:t>
      </w:r>
      <w:r w:rsidR="00AA5FB0" w:rsidRPr="00C85BF0">
        <w:rPr>
          <w:rFonts w:ascii="Bookman Old Style" w:hAnsi="Bookman Old Style"/>
        </w:rPr>
        <w:t>la C</w:t>
      </w:r>
      <w:r w:rsidR="009C2861" w:rsidRPr="00C85BF0">
        <w:rPr>
          <w:rFonts w:ascii="Bookman Old Style" w:hAnsi="Bookman Old Style"/>
        </w:rPr>
        <w:t>REG</w:t>
      </w:r>
      <w:r w:rsidR="00AA5FB0" w:rsidRPr="00C85BF0">
        <w:rPr>
          <w:rFonts w:ascii="Bookman Old Style" w:hAnsi="Bookman Old Style"/>
        </w:rPr>
        <w:t xml:space="preserve"> podrá adoptar medidas</w:t>
      </w:r>
      <w:r w:rsidR="00AD6B6C" w:rsidRPr="00C85BF0">
        <w:rPr>
          <w:rFonts w:ascii="Bookman Old Style" w:hAnsi="Bookman Old Style"/>
        </w:rPr>
        <w:t xml:space="preserve"> en plazos menores a los previstos en el artículo </w:t>
      </w:r>
      <w:r w:rsidR="00576991" w:rsidRPr="00C85BF0">
        <w:rPr>
          <w:rFonts w:ascii="Bookman Old Style" w:hAnsi="Bookman Old Style"/>
        </w:rPr>
        <w:t xml:space="preserve">9 del Decreto 2696 de 2004 cuando </w:t>
      </w:r>
      <w:r w:rsidR="009C2861">
        <w:rPr>
          <w:rFonts w:ascii="Bookman Old Style" w:hAnsi="Bookman Old Style"/>
        </w:rPr>
        <w:t>“</w:t>
      </w:r>
      <w:r w:rsidR="00F422AB" w:rsidRPr="00200D67">
        <w:rPr>
          <w:rFonts w:ascii="Bookman Old Style" w:hAnsi="Bookman Old Style"/>
          <w:i/>
          <w:iCs/>
        </w:rPr>
        <w:t>Cuando sea necesario intervenir el funcionamiento de los mercados para evitar que se trasladen a los usuarios costos ineficientes del mismo</w:t>
      </w:r>
      <w:r w:rsidR="009C2861">
        <w:rPr>
          <w:rFonts w:ascii="Bookman Old Style" w:hAnsi="Bookman Old Style"/>
        </w:rPr>
        <w:t>”</w:t>
      </w:r>
      <w:r w:rsidR="00F422AB" w:rsidRPr="00F422AB">
        <w:rPr>
          <w:rFonts w:ascii="Bookman Old Style" w:hAnsi="Bookman Old Style"/>
        </w:rPr>
        <w:t>.</w:t>
      </w:r>
      <w:r w:rsidR="00AA5FB0">
        <w:rPr>
          <w:rFonts w:ascii="Bookman Old Style" w:hAnsi="Bookman Old Style"/>
          <w:highlight w:val="yellow"/>
        </w:rPr>
        <w:t xml:space="preserve"> </w:t>
      </w:r>
    </w:p>
    <w:p w14:paraId="3DB41754" w14:textId="77777777" w:rsidR="00045D3D" w:rsidRDefault="00045D3D" w:rsidP="00045D3D">
      <w:pPr>
        <w:suppressAutoHyphens/>
        <w:jc w:val="center"/>
        <w:rPr>
          <w:rFonts w:ascii="Bookman Old Style" w:hAnsi="Bookman Old Style"/>
          <w:b/>
          <w:spacing w:val="-3"/>
        </w:rPr>
      </w:pPr>
    </w:p>
    <w:p w14:paraId="64A68261" w14:textId="77777777" w:rsidR="005F3B61" w:rsidRDefault="005F3B61" w:rsidP="00045D3D">
      <w:pPr>
        <w:suppressAutoHyphens/>
        <w:jc w:val="center"/>
        <w:rPr>
          <w:rFonts w:ascii="Bookman Old Style" w:hAnsi="Bookman Old Style"/>
          <w:b/>
          <w:spacing w:val="-3"/>
        </w:rPr>
      </w:pPr>
    </w:p>
    <w:p w14:paraId="78620ED0" w14:textId="77777777" w:rsidR="005F3B61" w:rsidRPr="00400814" w:rsidRDefault="005F3B61" w:rsidP="00045D3D">
      <w:pPr>
        <w:suppressAutoHyphens/>
        <w:jc w:val="center"/>
        <w:rPr>
          <w:rFonts w:ascii="Bookman Old Style" w:hAnsi="Bookman Old Style"/>
          <w:b/>
          <w:spacing w:val="-3"/>
        </w:rPr>
      </w:pPr>
    </w:p>
    <w:p w14:paraId="3A8B4AC3" w14:textId="53C30163" w:rsidR="008E734D" w:rsidRDefault="00045D3D" w:rsidP="00ED654F">
      <w:pPr>
        <w:suppressAutoHyphens/>
        <w:jc w:val="center"/>
        <w:rPr>
          <w:rFonts w:ascii="Bookman Old Style" w:hAnsi="Bookman Old Style"/>
          <w:spacing w:val="-3"/>
        </w:rPr>
      </w:pPr>
      <w:r w:rsidRPr="00400814">
        <w:rPr>
          <w:rFonts w:ascii="Bookman Old Style" w:hAnsi="Bookman Old Style"/>
          <w:b/>
          <w:spacing w:val="-3"/>
        </w:rPr>
        <w:lastRenderedPageBreak/>
        <w:t>R E S U E L V E:</w:t>
      </w:r>
    </w:p>
    <w:p w14:paraId="0D435309" w14:textId="77777777" w:rsidR="00ED654F" w:rsidRPr="00ED654F" w:rsidRDefault="00ED654F" w:rsidP="00ED654F">
      <w:pPr>
        <w:suppressAutoHyphens/>
        <w:jc w:val="center"/>
        <w:rPr>
          <w:rFonts w:ascii="Bookman Old Style" w:hAnsi="Bookman Old Style"/>
          <w:spacing w:val="-3"/>
        </w:rPr>
      </w:pPr>
    </w:p>
    <w:p w14:paraId="6B11869A" w14:textId="2DAD52D4" w:rsidR="00C926FC" w:rsidRPr="00200D67" w:rsidRDefault="008E734D" w:rsidP="00537834">
      <w:pPr>
        <w:pStyle w:val="Prrafodelista"/>
        <w:numPr>
          <w:ilvl w:val="0"/>
          <w:numId w:val="23"/>
        </w:numPr>
        <w:spacing w:before="240" w:after="240"/>
        <w:ind w:left="0" w:firstLine="0"/>
        <w:jc w:val="both"/>
        <w:rPr>
          <w:b w:val="0"/>
        </w:rPr>
      </w:pPr>
      <w:r w:rsidRPr="00400814">
        <w:rPr>
          <w:szCs w:val="24"/>
        </w:rPr>
        <w:t xml:space="preserve">Objetivo. </w:t>
      </w:r>
      <w:r w:rsidR="002237D4" w:rsidRPr="00130B47">
        <w:rPr>
          <w:b w:val="0"/>
          <w:bCs/>
          <w:szCs w:val="24"/>
        </w:rPr>
        <w:t xml:space="preserve">Adoptar </w:t>
      </w:r>
      <w:r w:rsidR="007F7757" w:rsidRPr="00130B47">
        <w:rPr>
          <w:b w:val="0"/>
          <w:bCs/>
          <w:szCs w:val="24"/>
        </w:rPr>
        <w:t>medidas para</w:t>
      </w:r>
      <w:r w:rsidR="007F7757">
        <w:rPr>
          <w:szCs w:val="24"/>
        </w:rPr>
        <w:t xml:space="preserve"> </w:t>
      </w:r>
      <w:r w:rsidR="007F7757">
        <w:rPr>
          <w:b w:val="0"/>
        </w:rPr>
        <w:t>p</w:t>
      </w:r>
      <w:r w:rsidR="00430879">
        <w:rPr>
          <w:b w:val="0"/>
        </w:rPr>
        <w:t>reve</w:t>
      </w:r>
      <w:r w:rsidR="00CA20B6">
        <w:rPr>
          <w:b w:val="0"/>
        </w:rPr>
        <w:t>ni</w:t>
      </w:r>
      <w:r w:rsidR="00430879">
        <w:rPr>
          <w:b w:val="0"/>
        </w:rPr>
        <w:t>r el abuso de la posici</w:t>
      </w:r>
      <w:r w:rsidR="00CA20B6">
        <w:rPr>
          <w:b w:val="0"/>
        </w:rPr>
        <w:t xml:space="preserve">ón </w:t>
      </w:r>
      <w:r w:rsidR="00430879">
        <w:rPr>
          <w:b w:val="0"/>
        </w:rPr>
        <w:t xml:space="preserve">dominante de los generadores que participan en la bolsa de energía y la consecuente formación de un precio </w:t>
      </w:r>
      <w:r w:rsidR="00937DF2">
        <w:rPr>
          <w:b w:val="0"/>
        </w:rPr>
        <w:t xml:space="preserve">de bolsa </w:t>
      </w:r>
      <w:r w:rsidR="00430879">
        <w:rPr>
          <w:b w:val="0"/>
        </w:rPr>
        <w:t xml:space="preserve">ineficiente durante la ocurrencia del Fenómeno de El Niño en el período 2023-2024.  </w:t>
      </w:r>
    </w:p>
    <w:p w14:paraId="4C88AF57" w14:textId="7414601E" w:rsidR="008E734D" w:rsidRPr="00400814" w:rsidRDefault="008E734D" w:rsidP="0087026E">
      <w:pPr>
        <w:pStyle w:val="Prrafodelista"/>
        <w:numPr>
          <w:ilvl w:val="0"/>
          <w:numId w:val="23"/>
        </w:numPr>
        <w:spacing w:before="240" w:after="240"/>
        <w:ind w:left="0" w:firstLine="0"/>
        <w:jc w:val="both"/>
        <w:rPr>
          <w:szCs w:val="24"/>
        </w:rPr>
      </w:pPr>
      <w:r w:rsidRPr="00400814">
        <w:rPr>
          <w:szCs w:val="24"/>
        </w:rPr>
        <w:t>Alcance.</w:t>
      </w:r>
      <w:r w:rsidR="00C85D3C" w:rsidRPr="00400814">
        <w:rPr>
          <w:szCs w:val="24"/>
        </w:rPr>
        <w:t xml:space="preserve"> </w:t>
      </w:r>
      <w:r w:rsidR="00C85D3C" w:rsidRPr="00400814">
        <w:rPr>
          <w:b w:val="0"/>
          <w:bCs/>
          <w:szCs w:val="24"/>
        </w:rPr>
        <w:t xml:space="preserve">La presente disposición </w:t>
      </w:r>
      <w:r w:rsidR="00F24BED">
        <w:rPr>
          <w:b w:val="0"/>
          <w:bCs/>
          <w:szCs w:val="24"/>
        </w:rPr>
        <w:t xml:space="preserve">está dirigida </w:t>
      </w:r>
      <w:r w:rsidR="00C85D3C" w:rsidRPr="00400814">
        <w:rPr>
          <w:b w:val="0"/>
          <w:bCs/>
          <w:szCs w:val="24"/>
        </w:rPr>
        <w:t xml:space="preserve">para aquellos agentes que realicen las actividades de generación y comercialización </w:t>
      </w:r>
      <w:r w:rsidR="008C6931">
        <w:rPr>
          <w:b w:val="0"/>
          <w:bCs/>
          <w:szCs w:val="24"/>
        </w:rPr>
        <w:t xml:space="preserve">en </w:t>
      </w:r>
      <w:r w:rsidR="00C85D3C" w:rsidRPr="00400814">
        <w:rPr>
          <w:b w:val="0"/>
          <w:bCs/>
          <w:szCs w:val="24"/>
        </w:rPr>
        <w:t>el Sistema Interco</w:t>
      </w:r>
      <w:r w:rsidR="0087026E" w:rsidRPr="00400814">
        <w:rPr>
          <w:b w:val="0"/>
          <w:bCs/>
          <w:szCs w:val="24"/>
        </w:rPr>
        <w:t>n</w:t>
      </w:r>
      <w:r w:rsidR="00C85D3C" w:rsidRPr="00400814">
        <w:rPr>
          <w:b w:val="0"/>
          <w:bCs/>
          <w:szCs w:val="24"/>
        </w:rPr>
        <w:t>ectado Nacional (SIN), al Centro Nacional de Despacho (CND) y al Administrador del Sistema de Intercambios Comerciales (ASIC).</w:t>
      </w:r>
    </w:p>
    <w:p w14:paraId="7D49A254" w14:textId="3F2F91E6" w:rsidR="00D2162E" w:rsidRPr="00400814" w:rsidRDefault="00D2162E" w:rsidP="0087026E">
      <w:pPr>
        <w:pStyle w:val="Prrafodelista"/>
        <w:numPr>
          <w:ilvl w:val="0"/>
          <w:numId w:val="23"/>
        </w:numPr>
        <w:spacing w:before="240" w:after="240"/>
        <w:ind w:left="0" w:firstLine="0"/>
        <w:jc w:val="both"/>
        <w:rPr>
          <w:szCs w:val="24"/>
        </w:rPr>
      </w:pPr>
      <w:r w:rsidRPr="00400814">
        <w:rPr>
          <w:szCs w:val="24"/>
        </w:rPr>
        <w:t xml:space="preserve">Período de </w:t>
      </w:r>
      <w:r w:rsidR="008E1A0F">
        <w:rPr>
          <w:szCs w:val="24"/>
        </w:rPr>
        <w:t>aplicación</w:t>
      </w:r>
      <w:r w:rsidRPr="00400814">
        <w:rPr>
          <w:szCs w:val="24"/>
        </w:rPr>
        <w:t>.</w:t>
      </w:r>
      <w:r w:rsidR="00C85D3C" w:rsidRPr="00400814">
        <w:rPr>
          <w:szCs w:val="24"/>
        </w:rPr>
        <w:t xml:space="preserve"> </w:t>
      </w:r>
      <w:r w:rsidR="00C85D3C" w:rsidRPr="00400814">
        <w:rPr>
          <w:b w:val="0"/>
          <w:bCs/>
          <w:szCs w:val="24"/>
        </w:rPr>
        <w:t xml:space="preserve">El período de </w:t>
      </w:r>
      <w:r w:rsidR="00D672AB">
        <w:rPr>
          <w:b w:val="0"/>
          <w:bCs/>
          <w:szCs w:val="24"/>
        </w:rPr>
        <w:t xml:space="preserve">aplicación del </w:t>
      </w:r>
      <w:r w:rsidR="006D7F4C">
        <w:rPr>
          <w:b w:val="0"/>
          <w:bCs/>
          <w:szCs w:val="24"/>
        </w:rPr>
        <w:t>ajuste</w:t>
      </w:r>
      <w:r w:rsidR="006D7F4C" w:rsidRPr="00400814">
        <w:rPr>
          <w:b w:val="0"/>
          <w:bCs/>
          <w:szCs w:val="24"/>
        </w:rPr>
        <w:t xml:space="preserve"> </w:t>
      </w:r>
      <w:r w:rsidR="00C85D3C" w:rsidRPr="00400814">
        <w:rPr>
          <w:b w:val="0"/>
          <w:bCs/>
          <w:szCs w:val="24"/>
        </w:rPr>
        <w:t>inicia</w:t>
      </w:r>
      <w:r w:rsidR="006D7F4C">
        <w:rPr>
          <w:b w:val="0"/>
          <w:bCs/>
          <w:szCs w:val="24"/>
        </w:rPr>
        <w:t>rá</w:t>
      </w:r>
      <w:r w:rsidR="00C85D3C" w:rsidRPr="00400814">
        <w:rPr>
          <w:b w:val="0"/>
          <w:bCs/>
          <w:szCs w:val="24"/>
        </w:rPr>
        <w:t xml:space="preserve"> desde la </w:t>
      </w:r>
      <w:proofErr w:type="gramStart"/>
      <w:r w:rsidR="00C85D3C" w:rsidRPr="00400814">
        <w:rPr>
          <w:b w:val="0"/>
          <w:bCs/>
          <w:szCs w:val="24"/>
        </w:rPr>
        <w:t>entrada en vigencia</w:t>
      </w:r>
      <w:proofErr w:type="gramEnd"/>
      <w:r w:rsidR="00C85D3C" w:rsidRPr="00400814">
        <w:rPr>
          <w:b w:val="0"/>
          <w:bCs/>
          <w:szCs w:val="24"/>
        </w:rPr>
        <w:t xml:space="preserve"> de la presente resolución y hasta que finalice la estación de verano 2023-2024, es decir, hasta el 30 de abril de 2024.</w:t>
      </w:r>
    </w:p>
    <w:p w14:paraId="42316154" w14:textId="7AE67EA7" w:rsidR="00C85D3C" w:rsidRDefault="00C85D3C" w:rsidP="0087026E">
      <w:pPr>
        <w:spacing w:before="240" w:after="240"/>
        <w:ind w:left="0"/>
        <w:jc w:val="both"/>
        <w:rPr>
          <w:rFonts w:ascii="Bookman Old Style" w:hAnsi="Bookman Old Style"/>
          <w:bCs/>
        </w:rPr>
      </w:pPr>
      <w:r w:rsidRPr="00400814">
        <w:rPr>
          <w:rFonts w:ascii="Bookman Old Style" w:hAnsi="Bookman Old Style"/>
          <w:bCs/>
        </w:rPr>
        <w:t xml:space="preserve">No obstante lo anterior, la CREG podrá </w:t>
      </w:r>
      <w:r w:rsidR="00486C03" w:rsidRPr="00400814">
        <w:rPr>
          <w:rFonts w:ascii="Bookman Old Style" w:hAnsi="Bookman Old Style"/>
          <w:bCs/>
        </w:rPr>
        <w:t>prorrogar</w:t>
      </w:r>
      <w:r w:rsidRPr="00400814">
        <w:rPr>
          <w:rFonts w:ascii="Bookman Old Style" w:hAnsi="Bookman Old Style"/>
          <w:bCs/>
        </w:rPr>
        <w:t xml:space="preserve"> o finalizar de manera anticipada la aplicación de la resolución</w:t>
      </w:r>
      <w:r w:rsidR="00430879">
        <w:rPr>
          <w:rFonts w:ascii="Bookman Old Style" w:hAnsi="Bookman Old Style"/>
          <w:bCs/>
        </w:rPr>
        <w:t xml:space="preserve">, </w:t>
      </w:r>
      <w:r w:rsidR="008E0B04">
        <w:rPr>
          <w:rFonts w:ascii="Bookman Old Style" w:hAnsi="Bookman Old Style"/>
          <w:bCs/>
        </w:rPr>
        <w:t>si</w:t>
      </w:r>
      <w:r w:rsidR="00430879">
        <w:rPr>
          <w:rFonts w:ascii="Bookman Old Style" w:hAnsi="Bookman Old Style"/>
          <w:bCs/>
        </w:rPr>
        <w:t xml:space="preserve"> las condiciones del SIN así </w:t>
      </w:r>
      <w:proofErr w:type="gramStart"/>
      <w:r w:rsidR="00430879">
        <w:rPr>
          <w:rFonts w:ascii="Bookman Old Style" w:hAnsi="Bookman Old Style"/>
          <w:bCs/>
        </w:rPr>
        <w:t xml:space="preserve">lo </w:t>
      </w:r>
      <w:r w:rsidR="00FC48B4">
        <w:rPr>
          <w:rFonts w:ascii="Bookman Old Style" w:hAnsi="Bookman Old Style"/>
          <w:bCs/>
        </w:rPr>
        <w:t xml:space="preserve"> ameritan</w:t>
      </w:r>
      <w:proofErr w:type="gramEnd"/>
      <w:r w:rsidR="00FC48B4">
        <w:rPr>
          <w:rFonts w:ascii="Bookman Old Style" w:hAnsi="Bookman Old Style"/>
          <w:bCs/>
        </w:rPr>
        <w:t>.</w:t>
      </w:r>
    </w:p>
    <w:p w14:paraId="723DFAEE" w14:textId="5737CD78" w:rsidR="008E734D" w:rsidRPr="00400814" w:rsidRDefault="008E734D" w:rsidP="0087026E">
      <w:pPr>
        <w:pStyle w:val="Prrafodelista"/>
        <w:numPr>
          <w:ilvl w:val="0"/>
          <w:numId w:val="23"/>
        </w:numPr>
        <w:spacing w:before="240" w:after="240"/>
        <w:ind w:left="0" w:firstLine="0"/>
        <w:jc w:val="both"/>
        <w:rPr>
          <w:b w:val="0"/>
          <w:bCs/>
          <w:szCs w:val="24"/>
        </w:rPr>
      </w:pPr>
      <w:r w:rsidRPr="00400814">
        <w:rPr>
          <w:szCs w:val="24"/>
        </w:rPr>
        <w:t>Ajuste de ofertas en la bolsa.</w:t>
      </w:r>
      <w:r w:rsidR="00486C03" w:rsidRPr="00400814">
        <w:rPr>
          <w:szCs w:val="24"/>
        </w:rPr>
        <w:t xml:space="preserve"> </w:t>
      </w:r>
      <w:r w:rsidR="00486C03" w:rsidRPr="00400814">
        <w:rPr>
          <w:b w:val="0"/>
          <w:bCs/>
          <w:szCs w:val="24"/>
        </w:rPr>
        <w:t>Los precios de oferta que hacen</w:t>
      </w:r>
      <w:r w:rsidR="000E65E9">
        <w:rPr>
          <w:b w:val="0"/>
          <w:bCs/>
          <w:szCs w:val="24"/>
        </w:rPr>
        <w:t xml:space="preserve"> los</w:t>
      </w:r>
      <w:r w:rsidR="00486C03" w:rsidRPr="00400814">
        <w:rPr>
          <w:b w:val="0"/>
          <w:bCs/>
          <w:szCs w:val="24"/>
        </w:rPr>
        <w:t xml:space="preserve"> agentes generadores a la bolsa, de acuerdo con la Resolución CREG 025 de 1995, se </w:t>
      </w:r>
      <w:r w:rsidR="005E656D" w:rsidRPr="00400814">
        <w:rPr>
          <w:b w:val="0"/>
          <w:bCs/>
          <w:szCs w:val="24"/>
        </w:rPr>
        <w:t>ajustará</w:t>
      </w:r>
      <w:r w:rsidR="003B77E4">
        <w:rPr>
          <w:b w:val="0"/>
          <w:bCs/>
          <w:szCs w:val="24"/>
        </w:rPr>
        <w:t>n</w:t>
      </w:r>
      <w:r w:rsidR="005E656D" w:rsidRPr="00400814">
        <w:rPr>
          <w:b w:val="0"/>
          <w:bCs/>
          <w:szCs w:val="24"/>
        </w:rPr>
        <w:t xml:space="preserve"> </w:t>
      </w:r>
      <w:r w:rsidR="004D4768">
        <w:rPr>
          <w:b w:val="0"/>
          <w:bCs/>
          <w:szCs w:val="24"/>
        </w:rPr>
        <w:t>así</w:t>
      </w:r>
      <w:r w:rsidR="00486C03" w:rsidRPr="00400814">
        <w:rPr>
          <w:b w:val="0"/>
          <w:bCs/>
          <w:szCs w:val="24"/>
        </w:rPr>
        <w:t>:</w:t>
      </w:r>
    </w:p>
    <w:p w14:paraId="60F74858" w14:textId="4F653548" w:rsidR="00486C03" w:rsidRDefault="00486C03" w:rsidP="0087026E">
      <w:pPr>
        <w:pStyle w:val="Prrafodelista"/>
        <w:numPr>
          <w:ilvl w:val="0"/>
          <w:numId w:val="25"/>
        </w:numPr>
        <w:spacing w:before="240" w:after="240"/>
        <w:jc w:val="both"/>
        <w:rPr>
          <w:b w:val="0"/>
          <w:szCs w:val="24"/>
        </w:rPr>
      </w:pPr>
      <w:r w:rsidRPr="00400814">
        <w:rPr>
          <w:bCs/>
          <w:szCs w:val="24"/>
        </w:rPr>
        <w:t xml:space="preserve">Plantas térmicas. </w:t>
      </w:r>
      <w:r w:rsidRPr="00400814">
        <w:rPr>
          <w:b w:val="0"/>
          <w:szCs w:val="24"/>
        </w:rPr>
        <w:t xml:space="preserve">La oferta </w:t>
      </w:r>
      <w:r w:rsidR="005E656D" w:rsidRPr="00400814">
        <w:rPr>
          <w:b w:val="0"/>
          <w:szCs w:val="24"/>
        </w:rPr>
        <w:t>aju</w:t>
      </w:r>
      <w:r w:rsidR="00D97E41" w:rsidRPr="00400814">
        <w:rPr>
          <w:b w:val="0"/>
          <w:szCs w:val="24"/>
        </w:rPr>
        <w:t>s</w:t>
      </w:r>
      <w:r w:rsidR="005E656D" w:rsidRPr="00400814">
        <w:rPr>
          <w:b w:val="0"/>
          <w:szCs w:val="24"/>
        </w:rPr>
        <w:t xml:space="preserve">tada de </w:t>
      </w:r>
      <w:r w:rsidRPr="00400814">
        <w:rPr>
          <w:b w:val="0"/>
          <w:szCs w:val="24"/>
        </w:rPr>
        <w:t>las plantas térmicas</w:t>
      </w:r>
      <w:r w:rsidR="0047553B" w:rsidRPr="00400814">
        <w:rPr>
          <w:b w:val="0"/>
          <w:szCs w:val="24"/>
        </w:rPr>
        <w:t xml:space="preserve"> del día </w:t>
      </w:r>
      <w:r w:rsidR="0047553B" w:rsidRPr="00400814">
        <w:rPr>
          <w:b w:val="0"/>
          <w:i/>
          <w:iCs/>
          <w:szCs w:val="24"/>
        </w:rPr>
        <w:t>d</w:t>
      </w:r>
      <w:r w:rsidR="0047553B" w:rsidRPr="00400814">
        <w:rPr>
          <w:b w:val="0"/>
          <w:szCs w:val="24"/>
        </w:rPr>
        <w:t xml:space="preserve"> del mes </w:t>
      </w:r>
      <w:r w:rsidR="0047553B" w:rsidRPr="00400814">
        <w:rPr>
          <w:b w:val="0"/>
          <w:i/>
          <w:iCs/>
          <w:szCs w:val="24"/>
        </w:rPr>
        <w:t>m</w:t>
      </w:r>
      <w:r w:rsidRPr="00400814">
        <w:rPr>
          <w:b w:val="0"/>
          <w:szCs w:val="24"/>
        </w:rPr>
        <w:t xml:space="preserve"> corresponderá al menor valor entre la oferta </w:t>
      </w:r>
      <w:r w:rsidR="005E656D" w:rsidRPr="00400814">
        <w:rPr>
          <w:b w:val="0"/>
          <w:szCs w:val="24"/>
        </w:rPr>
        <w:t>presentada al CND</w:t>
      </w:r>
      <w:r w:rsidRPr="00400814">
        <w:rPr>
          <w:b w:val="0"/>
          <w:szCs w:val="24"/>
        </w:rPr>
        <w:t xml:space="preserve"> de acuerdo con lo definido en la Resolución CREG 0</w:t>
      </w:r>
      <w:r w:rsidR="005E656D" w:rsidRPr="00400814">
        <w:rPr>
          <w:b w:val="0"/>
          <w:szCs w:val="24"/>
        </w:rPr>
        <w:t>25</w:t>
      </w:r>
      <w:r w:rsidRPr="00400814">
        <w:rPr>
          <w:b w:val="0"/>
          <w:szCs w:val="24"/>
        </w:rPr>
        <w:t xml:space="preserve"> de 199</w:t>
      </w:r>
      <w:r w:rsidR="005E656D" w:rsidRPr="00400814">
        <w:rPr>
          <w:b w:val="0"/>
          <w:szCs w:val="24"/>
        </w:rPr>
        <w:t>5</w:t>
      </w:r>
      <w:r w:rsidRPr="00400814">
        <w:rPr>
          <w:b w:val="0"/>
          <w:szCs w:val="24"/>
        </w:rPr>
        <w:t xml:space="preserve"> y</w:t>
      </w:r>
      <w:r w:rsidR="005E656D" w:rsidRPr="00400814">
        <w:rPr>
          <w:b w:val="0"/>
          <w:szCs w:val="24"/>
        </w:rPr>
        <w:t xml:space="preserve"> l</w:t>
      </w:r>
      <w:r w:rsidR="00452571">
        <w:rPr>
          <w:b w:val="0"/>
          <w:szCs w:val="24"/>
        </w:rPr>
        <w:t>os costos variables de la</w:t>
      </w:r>
      <w:r w:rsidR="007F0897">
        <w:rPr>
          <w:b w:val="0"/>
          <w:szCs w:val="24"/>
        </w:rPr>
        <w:t>s</w:t>
      </w:r>
      <w:r w:rsidR="00452571">
        <w:rPr>
          <w:b w:val="0"/>
          <w:szCs w:val="24"/>
        </w:rPr>
        <w:t xml:space="preserve"> plantas térmicas, </w:t>
      </w:r>
      <w:r w:rsidR="005E656D" w:rsidRPr="00400814">
        <w:rPr>
          <w:b w:val="0"/>
          <w:szCs w:val="24"/>
        </w:rPr>
        <w:t>variable CVPT.</w:t>
      </w:r>
      <w:r w:rsidRPr="00400814">
        <w:rPr>
          <w:b w:val="0"/>
          <w:szCs w:val="24"/>
        </w:rPr>
        <w:t xml:space="preserve"> </w:t>
      </w:r>
      <w:r w:rsidR="00E154B2">
        <w:rPr>
          <w:b w:val="0"/>
          <w:szCs w:val="24"/>
        </w:rPr>
        <w:t xml:space="preserve">La variable CVPT del día </w:t>
      </w:r>
      <w:r w:rsidR="00E154B2" w:rsidRPr="00553540">
        <w:rPr>
          <w:b w:val="0"/>
          <w:i/>
          <w:iCs/>
          <w:szCs w:val="24"/>
        </w:rPr>
        <w:t>d</w:t>
      </w:r>
      <w:r w:rsidR="00E154B2">
        <w:rPr>
          <w:b w:val="0"/>
          <w:szCs w:val="24"/>
        </w:rPr>
        <w:t xml:space="preserve"> del mes </w:t>
      </w:r>
      <w:r w:rsidR="00E154B2" w:rsidRPr="00553540">
        <w:rPr>
          <w:b w:val="0"/>
          <w:i/>
          <w:iCs/>
          <w:szCs w:val="24"/>
        </w:rPr>
        <w:t>m</w:t>
      </w:r>
      <w:r w:rsidR="00E154B2">
        <w:rPr>
          <w:b w:val="0"/>
          <w:szCs w:val="24"/>
        </w:rPr>
        <w:t xml:space="preserve"> </w:t>
      </w:r>
      <w:r w:rsidR="006A5EE5">
        <w:rPr>
          <w:b w:val="0"/>
          <w:szCs w:val="24"/>
        </w:rPr>
        <w:t>corresponderá a lo siguiente:</w:t>
      </w:r>
    </w:p>
    <w:p w14:paraId="718ED72E" w14:textId="6C9FA3C1" w:rsidR="00612913" w:rsidRDefault="00612913" w:rsidP="006A5EE5">
      <w:pPr>
        <w:pStyle w:val="Prrafodelista"/>
        <w:numPr>
          <w:ilvl w:val="0"/>
          <w:numId w:val="33"/>
        </w:numPr>
        <w:spacing w:before="240" w:after="240"/>
        <w:jc w:val="both"/>
        <w:rPr>
          <w:b w:val="0"/>
          <w:bCs/>
          <w:szCs w:val="24"/>
        </w:rPr>
      </w:pPr>
      <w:r>
        <w:rPr>
          <w:b w:val="0"/>
          <w:bCs/>
          <w:szCs w:val="24"/>
        </w:rPr>
        <w:t>Se consideran los últimos valores declarados diariamente</w:t>
      </w:r>
      <w:r w:rsidR="00CB0C1F">
        <w:rPr>
          <w:b w:val="0"/>
          <w:bCs/>
          <w:szCs w:val="24"/>
        </w:rPr>
        <w:t xml:space="preserve">, </w:t>
      </w:r>
      <w:r w:rsidR="00B20DA6">
        <w:rPr>
          <w:b w:val="0"/>
          <w:bCs/>
          <w:szCs w:val="24"/>
        </w:rPr>
        <w:t xml:space="preserve">en el marco del cumplimiento de </w:t>
      </w:r>
      <w:r w:rsidR="00CB0C1F">
        <w:rPr>
          <w:b w:val="0"/>
          <w:bCs/>
          <w:szCs w:val="24"/>
        </w:rPr>
        <w:t>la Resolución CREG 034 de 20</w:t>
      </w:r>
      <w:r w:rsidR="00B20DA6">
        <w:rPr>
          <w:b w:val="0"/>
          <w:bCs/>
          <w:szCs w:val="24"/>
        </w:rPr>
        <w:t>2</w:t>
      </w:r>
      <w:r w:rsidR="00CB0C1F">
        <w:rPr>
          <w:b w:val="0"/>
          <w:bCs/>
          <w:szCs w:val="24"/>
        </w:rPr>
        <w:t>1</w:t>
      </w:r>
      <w:r w:rsidR="00152462">
        <w:rPr>
          <w:b w:val="0"/>
          <w:bCs/>
          <w:szCs w:val="24"/>
        </w:rPr>
        <w:t>.</w:t>
      </w:r>
    </w:p>
    <w:p w14:paraId="5E46C535" w14:textId="717D855C" w:rsidR="005E656D" w:rsidRPr="00553540" w:rsidRDefault="00152462" w:rsidP="00553540">
      <w:pPr>
        <w:pStyle w:val="Prrafodelista"/>
        <w:numPr>
          <w:ilvl w:val="0"/>
          <w:numId w:val="33"/>
        </w:numPr>
        <w:spacing w:before="240" w:after="240"/>
        <w:jc w:val="both"/>
        <w:rPr>
          <w:b w:val="0"/>
          <w:bCs/>
        </w:rPr>
      </w:pPr>
      <w:r>
        <w:rPr>
          <w:b w:val="0"/>
          <w:bCs/>
          <w:szCs w:val="24"/>
        </w:rPr>
        <w:t xml:space="preserve">Los costos variables </w:t>
      </w:r>
      <w:r w:rsidR="005A0A01">
        <w:rPr>
          <w:b w:val="0"/>
          <w:bCs/>
          <w:szCs w:val="24"/>
        </w:rPr>
        <w:t xml:space="preserve">corresponderán a: </w:t>
      </w:r>
      <w:r w:rsidR="00373BC1" w:rsidRPr="00553540">
        <w:rPr>
          <w:b w:val="0"/>
          <w:bCs/>
        </w:rPr>
        <w:t xml:space="preserve">Costo de Suministro de Combustible (CSC), Costos de </w:t>
      </w:r>
      <w:r w:rsidR="00376729" w:rsidRPr="00553540">
        <w:rPr>
          <w:b w:val="0"/>
          <w:bCs/>
        </w:rPr>
        <w:t xml:space="preserve">Transporte </w:t>
      </w:r>
      <w:r w:rsidR="00373BC1" w:rsidRPr="00553540">
        <w:rPr>
          <w:b w:val="0"/>
          <w:bCs/>
        </w:rPr>
        <w:t xml:space="preserve">de </w:t>
      </w:r>
      <w:r w:rsidR="00376729" w:rsidRPr="00553540">
        <w:rPr>
          <w:b w:val="0"/>
          <w:bCs/>
        </w:rPr>
        <w:t xml:space="preserve">Combustible </w:t>
      </w:r>
      <w:r w:rsidR="00373BC1" w:rsidRPr="00553540">
        <w:rPr>
          <w:b w:val="0"/>
          <w:bCs/>
        </w:rPr>
        <w:t>(CTC), Costo de Operación Mantenimiento (COM) y Otros Costos Variables (OCV)</w:t>
      </w:r>
      <w:r w:rsidR="00430879" w:rsidRPr="00553540">
        <w:rPr>
          <w:b w:val="0"/>
          <w:bCs/>
        </w:rPr>
        <w:t xml:space="preserve">. </w:t>
      </w:r>
    </w:p>
    <w:p w14:paraId="6A07A8F2" w14:textId="254ED9C5" w:rsidR="00D9198E" w:rsidRDefault="00D9198E" w:rsidP="00B314A2">
      <w:pPr>
        <w:pStyle w:val="Prrafodelista"/>
        <w:numPr>
          <w:ilvl w:val="0"/>
          <w:numId w:val="33"/>
        </w:numPr>
        <w:spacing w:before="240" w:after="240"/>
        <w:jc w:val="both"/>
        <w:rPr>
          <w:b w:val="0"/>
          <w:bCs/>
        </w:rPr>
      </w:pPr>
      <w:r>
        <w:rPr>
          <w:b w:val="0"/>
          <w:bCs/>
        </w:rPr>
        <w:t xml:space="preserve">Para </w:t>
      </w:r>
      <w:r w:rsidR="005D4A43">
        <w:rPr>
          <w:b w:val="0"/>
          <w:bCs/>
        </w:rPr>
        <w:t xml:space="preserve">las </w:t>
      </w:r>
      <w:r>
        <w:rPr>
          <w:b w:val="0"/>
          <w:bCs/>
        </w:rPr>
        <w:t xml:space="preserve">plantas térmicas que han reconciliado positivamente se tomaran los valores </w:t>
      </w:r>
      <w:r w:rsidR="00FD4450">
        <w:rPr>
          <w:b w:val="0"/>
          <w:bCs/>
        </w:rPr>
        <w:t>en $/</w:t>
      </w:r>
      <w:proofErr w:type="spellStart"/>
      <w:r w:rsidR="00FD4450">
        <w:rPr>
          <w:b w:val="0"/>
          <w:bCs/>
        </w:rPr>
        <w:t>MWh</w:t>
      </w:r>
      <w:proofErr w:type="spellEnd"/>
      <w:r w:rsidR="00FD4450">
        <w:rPr>
          <w:b w:val="0"/>
          <w:bCs/>
        </w:rPr>
        <w:t xml:space="preserve"> de acuerdo con lo definido en la Resolución CREG 034 de 2001.</w:t>
      </w:r>
    </w:p>
    <w:p w14:paraId="050DE363" w14:textId="05A228F1" w:rsidR="00E37F8C" w:rsidRDefault="005D4A43" w:rsidP="00D532FA">
      <w:pPr>
        <w:pStyle w:val="Prrafodelista"/>
        <w:numPr>
          <w:ilvl w:val="0"/>
          <w:numId w:val="33"/>
        </w:numPr>
        <w:spacing w:before="240" w:after="240"/>
        <w:jc w:val="both"/>
        <w:rPr>
          <w:b w:val="0"/>
          <w:bCs/>
        </w:rPr>
      </w:pPr>
      <w:r>
        <w:rPr>
          <w:b w:val="0"/>
          <w:bCs/>
        </w:rPr>
        <w:t xml:space="preserve">Para las plantas térmicas que </w:t>
      </w:r>
      <w:r w:rsidR="005124AB">
        <w:rPr>
          <w:b w:val="0"/>
          <w:bCs/>
        </w:rPr>
        <w:t xml:space="preserve">no </w:t>
      </w:r>
      <w:r>
        <w:rPr>
          <w:b w:val="0"/>
          <w:bCs/>
        </w:rPr>
        <w:t xml:space="preserve">han reconciliado positivamente, </w:t>
      </w:r>
      <w:r w:rsidR="00EA6BD1">
        <w:rPr>
          <w:b w:val="0"/>
          <w:bCs/>
        </w:rPr>
        <w:t xml:space="preserve">los </w:t>
      </w:r>
      <w:r w:rsidR="00D532FA">
        <w:rPr>
          <w:b w:val="0"/>
          <w:bCs/>
        </w:rPr>
        <w:t>valores de combustible en $/</w:t>
      </w:r>
      <w:proofErr w:type="spellStart"/>
      <w:r w:rsidR="00D532FA">
        <w:rPr>
          <w:b w:val="0"/>
          <w:bCs/>
        </w:rPr>
        <w:t>MWh</w:t>
      </w:r>
      <w:proofErr w:type="spellEnd"/>
      <w:r w:rsidR="00D532FA">
        <w:rPr>
          <w:b w:val="0"/>
          <w:bCs/>
        </w:rPr>
        <w:t xml:space="preserve"> se determinarán </w:t>
      </w:r>
      <w:r w:rsidR="00D367DA" w:rsidRPr="00553540">
        <w:rPr>
          <w:b w:val="0"/>
          <w:bCs/>
        </w:rPr>
        <w:t xml:space="preserve">con la información </w:t>
      </w:r>
      <w:r w:rsidR="00111EF9" w:rsidRPr="00553540">
        <w:rPr>
          <w:b w:val="0"/>
          <w:bCs/>
        </w:rPr>
        <w:t xml:space="preserve">operativa </w:t>
      </w:r>
      <w:r w:rsidR="00115E13">
        <w:rPr>
          <w:b w:val="0"/>
          <w:bCs/>
        </w:rPr>
        <w:t>de la planta</w:t>
      </w:r>
      <w:r w:rsidR="00BE63D3" w:rsidRPr="00553540">
        <w:rPr>
          <w:b w:val="0"/>
          <w:bCs/>
        </w:rPr>
        <w:t>:</w:t>
      </w:r>
      <w:r w:rsidR="00111EF9" w:rsidRPr="00553540">
        <w:rPr>
          <w:b w:val="0"/>
          <w:bCs/>
        </w:rPr>
        <w:t xml:space="preserve"> </w:t>
      </w:r>
      <w:r w:rsidR="00EC084F" w:rsidRPr="00553540">
        <w:rPr>
          <w:b w:val="0"/>
          <w:bCs/>
        </w:rPr>
        <w:t xml:space="preserve">cantidades </w:t>
      </w:r>
      <w:r w:rsidR="00B578A8">
        <w:rPr>
          <w:b w:val="0"/>
          <w:bCs/>
        </w:rPr>
        <w:t xml:space="preserve">de </w:t>
      </w:r>
      <w:r w:rsidR="00CC24CB" w:rsidRPr="00553540">
        <w:rPr>
          <w:b w:val="0"/>
          <w:bCs/>
        </w:rPr>
        <w:t xml:space="preserve">combustible </w:t>
      </w:r>
      <w:r w:rsidR="00EC084F" w:rsidRPr="00553540">
        <w:rPr>
          <w:b w:val="0"/>
          <w:bCs/>
        </w:rPr>
        <w:t xml:space="preserve">y </w:t>
      </w:r>
      <w:r w:rsidR="00DD6D3C" w:rsidRPr="00553540">
        <w:rPr>
          <w:b w:val="0"/>
          <w:bCs/>
        </w:rPr>
        <w:t>generación.</w:t>
      </w:r>
    </w:p>
    <w:p w14:paraId="660AA56E" w14:textId="08A36164" w:rsidR="009A221F" w:rsidRPr="00553540" w:rsidRDefault="00DD6D3C" w:rsidP="00553540">
      <w:pPr>
        <w:pStyle w:val="Prrafodelista"/>
        <w:numPr>
          <w:ilvl w:val="0"/>
          <w:numId w:val="33"/>
        </w:numPr>
        <w:spacing w:before="240" w:after="240"/>
        <w:jc w:val="both"/>
        <w:rPr>
          <w:b w:val="0"/>
          <w:bCs/>
        </w:rPr>
      </w:pPr>
      <w:r w:rsidRPr="00553540">
        <w:rPr>
          <w:b w:val="0"/>
          <w:bCs/>
        </w:rPr>
        <w:t>Para plantas térmicas que no ha</w:t>
      </w:r>
      <w:r w:rsidR="00CC40B3">
        <w:rPr>
          <w:b w:val="0"/>
          <w:bCs/>
        </w:rPr>
        <w:t>n</w:t>
      </w:r>
      <w:r w:rsidRPr="00553540">
        <w:rPr>
          <w:b w:val="0"/>
          <w:bCs/>
        </w:rPr>
        <w:t xml:space="preserve"> declarado costos de combustibles</w:t>
      </w:r>
      <w:r w:rsidR="00F543E4" w:rsidRPr="00553540">
        <w:rPr>
          <w:b w:val="0"/>
          <w:bCs/>
        </w:rPr>
        <w:t xml:space="preserve">, </w:t>
      </w:r>
      <w:r w:rsidR="00CC40B3">
        <w:rPr>
          <w:b w:val="0"/>
          <w:bCs/>
        </w:rPr>
        <w:t>se mantendrá</w:t>
      </w:r>
      <w:r w:rsidR="00F543E4" w:rsidRPr="00553540">
        <w:rPr>
          <w:b w:val="0"/>
          <w:bCs/>
        </w:rPr>
        <w:t xml:space="preserve"> la </w:t>
      </w:r>
      <w:r w:rsidR="00750618">
        <w:rPr>
          <w:b w:val="0"/>
          <w:bCs/>
        </w:rPr>
        <w:t>oferta presentada</w:t>
      </w:r>
      <w:r w:rsidR="00712E39" w:rsidRPr="00553540">
        <w:rPr>
          <w:b w:val="0"/>
          <w:bCs/>
        </w:rPr>
        <w:t xml:space="preserve">. </w:t>
      </w:r>
      <w:r w:rsidR="00C42D8E">
        <w:rPr>
          <w:b w:val="0"/>
          <w:bCs/>
        </w:rPr>
        <w:t xml:space="preserve">Cuando tenga </w:t>
      </w:r>
      <w:r w:rsidR="00712E39" w:rsidRPr="00553540">
        <w:rPr>
          <w:b w:val="0"/>
          <w:bCs/>
        </w:rPr>
        <w:t>información</w:t>
      </w:r>
      <w:r w:rsidR="005F7101" w:rsidRPr="00553540">
        <w:rPr>
          <w:b w:val="0"/>
          <w:bCs/>
        </w:rPr>
        <w:t>,</w:t>
      </w:r>
      <w:r w:rsidR="00712E39" w:rsidRPr="00553540">
        <w:rPr>
          <w:b w:val="0"/>
          <w:bCs/>
        </w:rPr>
        <w:t xml:space="preserve"> se </w:t>
      </w:r>
      <w:r w:rsidR="005F7101" w:rsidRPr="00553540">
        <w:rPr>
          <w:b w:val="0"/>
          <w:bCs/>
        </w:rPr>
        <w:t>aplicará</w:t>
      </w:r>
      <w:r w:rsidR="00712E39" w:rsidRPr="00553540">
        <w:rPr>
          <w:b w:val="0"/>
          <w:bCs/>
        </w:rPr>
        <w:t xml:space="preserve"> el procedimiento definido </w:t>
      </w:r>
      <w:r w:rsidR="00E71793" w:rsidRPr="00553540">
        <w:rPr>
          <w:b w:val="0"/>
          <w:bCs/>
        </w:rPr>
        <w:t>anteriormente.</w:t>
      </w:r>
    </w:p>
    <w:p w14:paraId="1139BFC8" w14:textId="4DA1EF4C" w:rsidR="00415FA8" w:rsidRPr="00553540" w:rsidRDefault="009A221F" w:rsidP="00553540">
      <w:pPr>
        <w:pStyle w:val="Prrafodelista"/>
        <w:numPr>
          <w:ilvl w:val="0"/>
          <w:numId w:val="33"/>
        </w:numPr>
        <w:spacing w:before="240" w:after="240"/>
        <w:jc w:val="both"/>
        <w:rPr>
          <w:b w:val="0"/>
          <w:szCs w:val="24"/>
          <w:lang w:val="es-ES"/>
        </w:rPr>
      </w:pPr>
      <w:r w:rsidRPr="00553540">
        <w:rPr>
          <w:b w:val="0"/>
          <w:bCs/>
        </w:rPr>
        <w:lastRenderedPageBreak/>
        <w:t>En el caso de las plantas de ciclo combinado, los agente</w:t>
      </w:r>
      <w:r w:rsidR="00945DB2" w:rsidRPr="00553540">
        <w:rPr>
          <w:b w:val="0"/>
          <w:bCs/>
        </w:rPr>
        <w:t>s</w:t>
      </w:r>
      <w:r w:rsidRPr="00553540">
        <w:rPr>
          <w:b w:val="0"/>
          <w:bCs/>
        </w:rPr>
        <w:t xml:space="preserve"> deberán d</w:t>
      </w:r>
      <w:r w:rsidR="00971357" w:rsidRPr="00553540">
        <w:rPr>
          <w:b w:val="0"/>
          <w:bCs/>
        </w:rPr>
        <w:t xml:space="preserve">eclarar el </w:t>
      </w:r>
      <w:proofErr w:type="spellStart"/>
      <w:r w:rsidR="00971357" w:rsidRPr="00553540">
        <w:rPr>
          <w:b w:val="0"/>
          <w:bCs/>
          <w:i/>
          <w:iCs/>
        </w:rPr>
        <w:t>Heat</w:t>
      </w:r>
      <w:proofErr w:type="spellEnd"/>
      <w:r w:rsidR="00971357" w:rsidRPr="00553540">
        <w:rPr>
          <w:b w:val="0"/>
          <w:bCs/>
          <w:i/>
          <w:iCs/>
        </w:rPr>
        <w:t xml:space="preserve"> </w:t>
      </w:r>
      <w:proofErr w:type="spellStart"/>
      <w:r w:rsidR="00971357" w:rsidRPr="00553540">
        <w:rPr>
          <w:b w:val="0"/>
          <w:bCs/>
          <w:i/>
          <w:iCs/>
        </w:rPr>
        <w:t>Rate</w:t>
      </w:r>
      <w:proofErr w:type="spellEnd"/>
      <w:r w:rsidR="00971357" w:rsidRPr="00553540">
        <w:rPr>
          <w:b w:val="0"/>
          <w:bCs/>
        </w:rPr>
        <w:t xml:space="preserve"> de cada un</w:t>
      </w:r>
      <w:r w:rsidR="00945DB2" w:rsidRPr="00553540">
        <w:rPr>
          <w:b w:val="0"/>
          <w:bCs/>
        </w:rPr>
        <w:t>a</w:t>
      </w:r>
      <w:r w:rsidR="00971357" w:rsidRPr="00553540">
        <w:rPr>
          <w:b w:val="0"/>
          <w:bCs/>
        </w:rPr>
        <w:t xml:space="preserve"> de las configuraciones. </w:t>
      </w:r>
      <w:r w:rsidR="00941E95">
        <w:rPr>
          <w:b w:val="0"/>
          <w:bCs/>
        </w:rPr>
        <w:t>El CND de</w:t>
      </w:r>
      <w:r w:rsidR="00750618">
        <w:rPr>
          <w:b w:val="0"/>
          <w:bCs/>
        </w:rPr>
        <w:t>f</w:t>
      </w:r>
      <w:r w:rsidR="00941E95">
        <w:rPr>
          <w:b w:val="0"/>
          <w:bCs/>
        </w:rPr>
        <w:t xml:space="preserve">inirá el medio y formato para dicha declaración. </w:t>
      </w:r>
      <w:r w:rsidR="00971357" w:rsidRPr="00553540">
        <w:rPr>
          <w:b w:val="0"/>
          <w:bCs/>
        </w:rPr>
        <w:t>C</w:t>
      </w:r>
      <w:r w:rsidR="00945DB2" w:rsidRPr="00553540">
        <w:rPr>
          <w:b w:val="0"/>
          <w:bCs/>
        </w:rPr>
        <w:t>on dicha información y los costos declarados en el marco de la Resolución CREG 034 de 2001, el CND determinará los costos variables de</w:t>
      </w:r>
      <w:r w:rsidR="006C4C01" w:rsidRPr="00553540">
        <w:rPr>
          <w:b w:val="0"/>
          <w:bCs/>
        </w:rPr>
        <w:t>l combustible</w:t>
      </w:r>
      <w:r w:rsidR="00C42D8E">
        <w:rPr>
          <w:b w:val="0"/>
          <w:bCs/>
        </w:rPr>
        <w:t xml:space="preserve"> </w:t>
      </w:r>
      <w:r w:rsidR="00661A9D">
        <w:rPr>
          <w:b w:val="0"/>
          <w:bCs/>
        </w:rPr>
        <w:t>en $/</w:t>
      </w:r>
      <w:proofErr w:type="spellStart"/>
      <w:r w:rsidR="00661A9D">
        <w:rPr>
          <w:b w:val="0"/>
          <w:bCs/>
        </w:rPr>
        <w:t>MWh</w:t>
      </w:r>
      <w:proofErr w:type="spellEnd"/>
      <w:r w:rsidR="00661A9D">
        <w:rPr>
          <w:b w:val="0"/>
          <w:bCs/>
        </w:rPr>
        <w:t xml:space="preserve"> </w:t>
      </w:r>
      <w:r w:rsidR="00C42D8E">
        <w:rPr>
          <w:b w:val="0"/>
          <w:bCs/>
        </w:rPr>
        <w:t>p</w:t>
      </w:r>
      <w:r w:rsidR="00B6119C">
        <w:rPr>
          <w:b w:val="0"/>
          <w:bCs/>
        </w:rPr>
        <w:t>ara</w:t>
      </w:r>
      <w:r w:rsidR="00C42D8E">
        <w:rPr>
          <w:b w:val="0"/>
          <w:bCs/>
        </w:rPr>
        <w:t xml:space="preserve"> </w:t>
      </w:r>
      <w:r w:rsidR="00661A9D">
        <w:rPr>
          <w:b w:val="0"/>
          <w:bCs/>
        </w:rPr>
        <w:t xml:space="preserve">cada </w:t>
      </w:r>
      <w:r w:rsidR="00C42D8E">
        <w:rPr>
          <w:b w:val="0"/>
          <w:bCs/>
        </w:rPr>
        <w:t>configuración</w:t>
      </w:r>
      <w:r w:rsidR="006C4C01" w:rsidRPr="00553540">
        <w:rPr>
          <w:b w:val="0"/>
          <w:bCs/>
        </w:rPr>
        <w:t>.</w:t>
      </w:r>
      <w:r w:rsidR="006D1A8E" w:rsidRPr="00553540">
        <w:rPr>
          <w:b w:val="0"/>
          <w:szCs w:val="24"/>
          <w:lang w:val="es-ES"/>
        </w:rPr>
        <w:t xml:space="preserve"> </w:t>
      </w:r>
    </w:p>
    <w:p w14:paraId="74FE16F3" w14:textId="6A48132B" w:rsidR="00DD6D3C" w:rsidRPr="00400814" w:rsidRDefault="00C42D8E" w:rsidP="0087026E">
      <w:pPr>
        <w:spacing w:before="240" w:after="240"/>
        <w:ind w:left="1068"/>
        <w:jc w:val="both"/>
        <w:rPr>
          <w:rFonts w:ascii="Bookman Old Style" w:hAnsi="Bookman Old Style"/>
        </w:rPr>
      </w:pPr>
      <w:r>
        <w:rPr>
          <w:rFonts w:ascii="Bookman Old Style" w:hAnsi="Bookman Old Style"/>
        </w:rPr>
        <w:t xml:space="preserve">La suma </w:t>
      </w:r>
      <w:r w:rsidR="00AE66FF">
        <w:rPr>
          <w:rFonts w:ascii="Bookman Old Style" w:hAnsi="Bookman Old Style"/>
        </w:rPr>
        <w:t>de los costos variables</w:t>
      </w:r>
      <w:r w:rsidR="00580873">
        <w:rPr>
          <w:rFonts w:ascii="Bookman Old Style" w:hAnsi="Bookman Old Style"/>
        </w:rPr>
        <w:t xml:space="preserve"> en $/</w:t>
      </w:r>
      <w:proofErr w:type="spellStart"/>
      <w:r w:rsidR="00580873">
        <w:rPr>
          <w:rFonts w:ascii="Bookman Old Style" w:hAnsi="Bookman Old Style"/>
        </w:rPr>
        <w:t>MWh</w:t>
      </w:r>
      <w:proofErr w:type="spellEnd"/>
      <w:r w:rsidR="00AE66FF">
        <w:rPr>
          <w:rFonts w:ascii="Bookman Old Style" w:hAnsi="Bookman Old Style"/>
        </w:rPr>
        <w:t xml:space="preserve">, señalados anteriormente para cada caso, se les incrementará </w:t>
      </w:r>
      <w:r w:rsidR="00350C20">
        <w:rPr>
          <w:rFonts w:ascii="Bookman Old Style" w:hAnsi="Bookman Old Style"/>
        </w:rPr>
        <w:t>por un factor de 1,05.</w:t>
      </w:r>
      <w:r w:rsidR="00082CCE">
        <w:rPr>
          <w:rFonts w:ascii="Bookman Old Style" w:hAnsi="Bookman Old Style"/>
        </w:rPr>
        <w:t xml:space="preserve"> El valor obtenido se</w:t>
      </w:r>
      <w:r w:rsidR="00F96BE2">
        <w:rPr>
          <w:rFonts w:ascii="Bookman Old Style" w:hAnsi="Bookman Old Style"/>
        </w:rPr>
        <w:t>rá redondeado al entero más próximo.</w:t>
      </w:r>
    </w:p>
    <w:p w14:paraId="4E791267" w14:textId="7143C18D" w:rsidR="00D97E41" w:rsidRPr="00400814" w:rsidRDefault="00D97E41" w:rsidP="0087026E">
      <w:pPr>
        <w:pStyle w:val="Prrafodelista"/>
        <w:numPr>
          <w:ilvl w:val="0"/>
          <w:numId w:val="25"/>
        </w:numPr>
        <w:spacing w:before="240" w:after="240"/>
        <w:jc w:val="both"/>
        <w:rPr>
          <w:b w:val="0"/>
          <w:szCs w:val="24"/>
        </w:rPr>
      </w:pPr>
      <w:r w:rsidRPr="00400814">
        <w:rPr>
          <w:szCs w:val="24"/>
        </w:rPr>
        <w:t xml:space="preserve">Plantas variables (hidráulicas, eólicas y solares). </w:t>
      </w:r>
      <w:r w:rsidRPr="00400814">
        <w:rPr>
          <w:b w:val="0"/>
          <w:szCs w:val="24"/>
        </w:rPr>
        <w:t xml:space="preserve">La oferta ajustada de las plantas variables </w:t>
      </w:r>
      <w:r w:rsidR="0047553B" w:rsidRPr="00400814">
        <w:rPr>
          <w:b w:val="0"/>
          <w:szCs w:val="24"/>
        </w:rPr>
        <w:t xml:space="preserve">del día </w:t>
      </w:r>
      <w:r w:rsidR="0047553B" w:rsidRPr="00200D67">
        <w:rPr>
          <w:b w:val="0"/>
          <w:i/>
          <w:iCs/>
          <w:szCs w:val="24"/>
        </w:rPr>
        <w:t>d</w:t>
      </w:r>
      <w:r w:rsidR="0047553B" w:rsidRPr="00400814">
        <w:rPr>
          <w:b w:val="0"/>
          <w:szCs w:val="24"/>
        </w:rPr>
        <w:t xml:space="preserve"> del mes </w:t>
      </w:r>
      <w:r w:rsidR="0047553B" w:rsidRPr="00200D67">
        <w:rPr>
          <w:b w:val="0"/>
          <w:i/>
          <w:iCs/>
          <w:szCs w:val="24"/>
        </w:rPr>
        <w:t>m</w:t>
      </w:r>
      <w:r w:rsidR="0047553B" w:rsidRPr="00400814">
        <w:rPr>
          <w:b w:val="0"/>
          <w:szCs w:val="24"/>
        </w:rPr>
        <w:t xml:space="preserve"> </w:t>
      </w:r>
      <w:r w:rsidRPr="00400814">
        <w:rPr>
          <w:b w:val="0"/>
          <w:szCs w:val="24"/>
        </w:rPr>
        <w:t xml:space="preserve">corresponderá al menor valor entre la oferta presentada al CND de acuerdo con lo definido en la Resolución CREG 025 de 1995 y </w:t>
      </w:r>
      <w:r w:rsidR="00C17FE3">
        <w:rPr>
          <w:b w:val="0"/>
          <w:szCs w:val="24"/>
        </w:rPr>
        <w:t>los costos variables de las plant</w:t>
      </w:r>
      <w:r w:rsidR="007F0897">
        <w:rPr>
          <w:b w:val="0"/>
          <w:szCs w:val="24"/>
        </w:rPr>
        <w:t>a</w:t>
      </w:r>
      <w:r w:rsidR="00C17FE3">
        <w:rPr>
          <w:b w:val="0"/>
          <w:szCs w:val="24"/>
        </w:rPr>
        <w:t xml:space="preserve">s variables, </w:t>
      </w:r>
      <w:r w:rsidRPr="00400814">
        <w:rPr>
          <w:b w:val="0"/>
          <w:szCs w:val="24"/>
        </w:rPr>
        <w:t xml:space="preserve">variable CVPV. </w:t>
      </w:r>
    </w:p>
    <w:p w14:paraId="266CDA9C" w14:textId="5C3D4188" w:rsidR="000C4520" w:rsidRDefault="00D97E41" w:rsidP="0087026E">
      <w:pPr>
        <w:spacing w:before="240" w:after="240"/>
        <w:ind w:left="1068"/>
        <w:jc w:val="both"/>
        <w:rPr>
          <w:rFonts w:ascii="Bookman Old Style" w:hAnsi="Bookman Old Style"/>
        </w:rPr>
      </w:pPr>
      <w:r w:rsidRPr="00400814">
        <w:rPr>
          <w:rFonts w:ascii="Bookman Old Style" w:hAnsi="Bookman Old Style"/>
        </w:rPr>
        <w:t>La variable CVPV corresponde</w:t>
      </w:r>
      <w:r w:rsidR="00C81485">
        <w:rPr>
          <w:rFonts w:ascii="Bookman Old Style" w:hAnsi="Bookman Old Style"/>
        </w:rPr>
        <w:t>rá al</w:t>
      </w:r>
      <w:r w:rsidRPr="00400814">
        <w:rPr>
          <w:rFonts w:ascii="Bookman Old Style" w:hAnsi="Bookman Old Style"/>
        </w:rPr>
        <w:t xml:space="preserve"> máximo valor de la variable CVPT </w:t>
      </w:r>
      <w:r w:rsidR="0047553B" w:rsidRPr="00400814">
        <w:rPr>
          <w:rFonts w:ascii="Bookman Old Style" w:hAnsi="Bookman Old Style"/>
        </w:rPr>
        <w:t xml:space="preserve">del día </w:t>
      </w:r>
      <w:r w:rsidR="0047553B" w:rsidRPr="00200D67">
        <w:rPr>
          <w:rFonts w:ascii="Bookman Old Style" w:hAnsi="Bookman Old Style"/>
          <w:i/>
          <w:iCs/>
        </w:rPr>
        <w:t>d</w:t>
      </w:r>
      <w:r w:rsidR="0047553B" w:rsidRPr="00400814">
        <w:rPr>
          <w:rFonts w:ascii="Bookman Old Style" w:hAnsi="Bookman Old Style"/>
        </w:rPr>
        <w:t xml:space="preserve"> del mes </w:t>
      </w:r>
      <w:r w:rsidR="0047553B" w:rsidRPr="00200D67">
        <w:rPr>
          <w:rFonts w:ascii="Bookman Old Style" w:hAnsi="Bookman Old Style"/>
          <w:i/>
          <w:iCs/>
        </w:rPr>
        <w:t>m</w:t>
      </w:r>
      <w:r w:rsidR="0047553B" w:rsidRPr="00400814">
        <w:rPr>
          <w:rFonts w:ascii="Bookman Old Style" w:hAnsi="Bookman Old Style"/>
        </w:rPr>
        <w:t xml:space="preserve"> </w:t>
      </w:r>
      <w:r w:rsidRPr="00400814">
        <w:rPr>
          <w:rFonts w:ascii="Bookman Old Style" w:hAnsi="Bookman Old Style"/>
        </w:rPr>
        <w:t>más 1 $/</w:t>
      </w:r>
      <w:proofErr w:type="spellStart"/>
      <w:r w:rsidRPr="00400814">
        <w:rPr>
          <w:rFonts w:ascii="Bookman Old Style" w:hAnsi="Bookman Old Style"/>
        </w:rPr>
        <w:t>MWh</w:t>
      </w:r>
      <w:proofErr w:type="spellEnd"/>
      <w:r w:rsidRPr="00400814">
        <w:rPr>
          <w:rFonts w:ascii="Bookman Old Style" w:hAnsi="Bookman Old Style"/>
        </w:rPr>
        <w:t xml:space="preserve">. En caso de que se tengan ofertas ajustadas empatadas </w:t>
      </w:r>
      <w:r w:rsidR="0014419B">
        <w:rPr>
          <w:rFonts w:ascii="Bookman Old Style" w:hAnsi="Bookman Old Style"/>
        </w:rPr>
        <w:t xml:space="preserve">de plantas </w:t>
      </w:r>
      <w:r w:rsidR="00A94980">
        <w:rPr>
          <w:rFonts w:ascii="Bookman Old Style" w:hAnsi="Bookman Old Style"/>
        </w:rPr>
        <w:t>hidráulicas con embalse y con</w:t>
      </w:r>
      <w:r w:rsidR="00BF05A0">
        <w:rPr>
          <w:rFonts w:ascii="Bookman Old Style" w:hAnsi="Bookman Old Style"/>
        </w:rPr>
        <w:t xml:space="preserve"> el nivel de </w:t>
      </w:r>
      <w:proofErr w:type="spellStart"/>
      <w:r w:rsidR="00BF05A0">
        <w:rPr>
          <w:rFonts w:ascii="Bookman Old Style" w:hAnsi="Bookman Old Style"/>
        </w:rPr>
        <w:t>Enficc</w:t>
      </w:r>
      <w:proofErr w:type="spellEnd"/>
      <w:r w:rsidR="00BF05A0">
        <w:rPr>
          <w:rFonts w:ascii="Bookman Old Style" w:hAnsi="Bookman Old Style"/>
        </w:rPr>
        <w:t xml:space="preserve"> Probabilístico</w:t>
      </w:r>
      <w:r w:rsidR="00A94980">
        <w:rPr>
          <w:rFonts w:ascii="Bookman Old Style" w:hAnsi="Bookman Old Style"/>
        </w:rPr>
        <w:t xml:space="preserve"> </w:t>
      </w:r>
      <w:r w:rsidR="00BF05A0">
        <w:rPr>
          <w:rFonts w:ascii="Bookman Old Style" w:hAnsi="Bookman Old Style"/>
        </w:rPr>
        <w:t>-</w:t>
      </w:r>
      <w:r w:rsidR="00A94980">
        <w:rPr>
          <w:rFonts w:ascii="Bookman Old Style" w:hAnsi="Bookman Old Style"/>
        </w:rPr>
        <w:t>NEP</w:t>
      </w:r>
      <w:r w:rsidR="00BF05A0">
        <w:rPr>
          <w:rFonts w:ascii="Bookman Old Style" w:hAnsi="Bookman Old Style"/>
        </w:rPr>
        <w:t>-</w:t>
      </w:r>
      <w:r w:rsidR="00A94980">
        <w:rPr>
          <w:rFonts w:ascii="Bookman Old Style" w:hAnsi="Bookman Old Style"/>
        </w:rPr>
        <w:t xml:space="preserve">, </w:t>
      </w:r>
      <w:r w:rsidRPr="00400814">
        <w:rPr>
          <w:rFonts w:ascii="Bookman Old Style" w:hAnsi="Bookman Old Style"/>
        </w:rPr>
        <w:t xml:space="preserve">se ordenaran considerando la diferencia </w:t>
      </w:r>
      <w:r w:rsidR="00A94980">
        <w:rPr>
          <w:rFonts w:ascii="Bookman Old Style" w:hAnsi="Bookman Old Style"/>
        </w:rPr>
        <w:t xml:space="preserve">entre: </w:t>
      </w:r>
      <w:r w:rsidRPr="00400814">
        <w:rPr>
          <w:rFonts w:ascii="Bookman Old Style" w:hAnsi="Bookman Old Style"/>
        </w:rPr>
        <w:t>el nivel real del embalse</w:t>
      </w:r>
      <w:r w:rsidR="007B2DEF">
        <w:rPr>
          <w:rFonts w:ascii="Bookman Old Style" w:hAnsi="Bookman Old Style"/>
        </w:rPr>
        <w:t xml:space="preserve"> (NEM)</w:t>
      </w:r>
      <w:r w:rsidRPr="00400814">
        <w:rPr>
          <w:rFonts w:ascii="Bookman Old Style" w:hAnsi="Bookman Old Style"/>
        </w:rPr>
        <w:t xml:space="preserve"> </w:t>
      </w:r>
      <w:r w:rsidR="007B2DEF">
        <w:rPr>
          <w:rFonts w:ascii="Bookman Old Style" w:hAnsi="Bookman Old Style"/>
        </w:rPr>
        <w:t>reportado al CND de conformidad con el Numeral 6.2.</w:t>
      </w:r>
      <w:r w:rsidR="00086AE8">
        <w:rPr>
          <w:rFonts w:ascii="Bookman Old Style" w:hAnsi="Bookman Old Style"/>
        </w:rPr>
        <w:t xml:space="preserve"> DECLARACIÓN DE DATOS HIDROLÓGICOS del Código de Operación de la Resolución CREG </w:t>
      </w:r>
      <w:r w:rsidR="004F3967">
        <w:rPr>
          <w:rFonts w:ascii="Bookman Old Style" w:hAnsi="Bookman Old Style"/>
        </w:rPr>
        <w:t xml:space="preserve">025 de 1995, </w:t>
      </w:r>
      <w:r w:rsidRPr="00400814">
        <w:rPr>
          <w:rFonts w:ascii="Bookman Old Style" w:hAnsi="Bookman Old Style"/>
        </w:rPr>
        <w:t xml:space="preserve">y el NEP, ordenando </w:t>
      </w:r>
      <w:r w:rsidR="004F3967">
        <w:rPr>
          <w:rFonts w:ascii="Bookman Old Style" w:hAnsi="Bookman Old Style"/>
        </w:rPr>
        <w:t xml:space="preserve">esta diferencia </w:t>
      </w:r>
      <w:r w:rsidRPr="00400814">
        <w:rPr>
          <w:rFonts w:ascii="Bookman Old Style" w:hAnsi="Bookman Old Style"/>
        </w:rPr>
        <w:t xml:space="preserve">de mayor a menor.  A dichas </w:t>
      </w:r>
      <w:r w:rsidR="00430879">
        <w:rPr>
          <w:rFonts w:ascii="Bookman Old Style" w:hAnsi="Bookman Old Style"/>
        </w:rPr>
        <w:t xml:space="preserve">ofertas </w:t>
      </w:r>
      <w:r w:rsidRPr="00400814">
        <w:rPr>
          <w:rFonts w:ascii="Bookman Old Style" w:hAnsi="Bookman Old Style"/>
        </w:rPr>
        <w:t xml:space="preserve">ordenadas se les </w:t>
      </w:r>
      <w:r w:rsidR="00430879">
        <w:rPr>
          <w:rFonts w:ascii="Bookman Old Style" w:hAnsi="Bookman Old Style"/>
        </w:rPr>
        <w:t>incr</w:t>
      </w:r>
      <w:r w:rsidR="00EE5CA7">
        <w:rPr>
          <w:rFonts w:ascii="Bookman Old Style" w:hAnsi="Bookman Old Style"/>
        </w:rPr>
        <w:t>e</w:t>
      </w:r>
      <w:r w:rsidR="00430879">
        <w:rPr>
          <w:rFonts w:ascii="Bookman Old Style" w:hAnsi="Bookman Old Style"/>
        </w:rPr>
        <w:t>menta el v</w:t>
      </w:r>
      <w:r w:rsidR="00EE5CA7">
        <w:rPr>
          <w:rFonts w:ascii="Bookman Old Style" w:hAnsi="Bookman Old Style"/>
        </w:rPr>
        <w:t>a</w:t>
      </w:r>
      <w:r w:rsidR="00430879">
        <w:rPr>
          <w:rFonts w:ascii="Bookman Old Style" w:hAnsi="Bookman Old Style"/>
        </w:rPr>
        <w:t xml:space="preserve">lor de </w:t>
      </w:r>
      <w:r w:rsidRPr="00400814">
        <w:rPr>
          <w:rFonts w:ascii="Bookman Old Style" w:hAnsi="Bookman Old Style"/>
        </w:rPr>
        <w:t>1 $/</w:t>
      </w:r>
      <w:proofErr w:type="spellStart"/>
      <w:r w:rsidRPr="00400814">
        <w:rPr>
          <w:rFonts w:ascii="Bookman Old Style" w:hAnsi="Bookman Old Style"/>
        </w:rPr>
        <w:t>MWh</w:t>
      </w:r>
      <w:proofErr w:type="spellEnd"/>
      <w:r w:rsidR="00903099">
        <w:rPr>
          <w:rFonts w:ascii="Bookman Old Style" w:hAnsi="Bookman Old Style"/>
        </w:rPr>
        <w:t xml:space="preserve"> a partir </w:t>
      </w:r>
      <w:r w:rsidR="00941E95">
        <w:rPr>
          <w:rFonts w:ascii="Bookman Old Style" w:hAnsi="Bookman Old Style"/>
        </w:rPr>
        <w:t>de la segunda planta ordenada</w:t>
      </w:r>
      <w:r w:rsidRPr="00400814">
        <w:rPr>
          <w:rFonts w:ascii="Bookman Old Style" w:hAnsi="Bookman Old Style"/>
        </w:rPr>
        <w:t xml:space="preserve">. </w:t>
      </w:r>
    </w:p>
    <w:p w14:paraId="10D064FF" w14:textId="34431777" w:rsidR="00D97E41" w:rsidRPr="00400814" w:rsidRDefault="00F4461C" w:rsidP="0087026E">
      <w:pPr>
        <w:spacing w:before="240" w:after="240"/>
        <w:ind w:left="1068"/>
        <w:jc w:val="both"/>
      </w:pPr>
      <w:r>
        <w:rPr>
          <w:rFonts w:ascii="Bookman Old Style" w:hAnsi="Bookman Old Style"/>
        </w:rPr>
        <w:t xml:space="preserve">Una vez aplicado el procedimiento anterior, </w:t>
      </w:r>
      <w:r w:rsidR="00394FB2">
        <w:rPr>
          <w:rFonts w:ascii="Bookman Old Style" w:hAnsi="Bookman Old Style"/>
        </w:rPr>
        <w:t xml:space="preserve">el CND dará aplicación al criterio de desempate definido en la Resolución CREG </w:t>
      </w:r>
      <w:r w:rsidR="00D22F29">
        <w:rPr>
          <w:rFonts w:ascii="Bookman Old Style" w:hAnsi="Bookman Old Style"/>
        </w:rPr>
        <w:t xml:space="preserve">025 DE 1995 para </w:t>
      </w:r>
      <w:r w:rsidR="00847143">
        <w:rPr>
          <w:rFonts w:ascii="Bookman Old Style" w:hAnsi="Bookman Old Style"/>
        </w:rPr>
        <w:t>todos los recursos</w:t>
      </w:r>
      <w:r w:rsidR="000F6491">
        <w:rPr>
          <w:rFonts w:ascii="Bookman Old Style" w:hAnsi="Bookman Old Style"/>
        </w:rPr>
        <w:t xml:space="preserve"> de generación que estén empatados.</w:t>
      </w:r>
    </w:p>
    <w:p w14:paraId="2A3A71EA" w14:textId="10F63100" w:rsidR="005E656D" w:rsidRPr="00400814" w:rsidRDefault="0047553B" w:rsidP="0087026E">
      <w:pPr>
        <w:pStyle w:val="Prrafodelista"/>
        <w:numPr>
          <w:ilvl w:val="0"/>
          <w:numId w:val="23"/>
        </w:numPr>
        <w:spacing w:before="240" w:after="240"/>
        <w:ind w:left="0" w:firstLine="0"/>
        <w:jc w:val="both"/>
        <w:rPr>
          <w:szCs w:val="24"/>
        </w:rPr>
      </w:pPr>
      <w:r w:rsidRPr="00400814">
        <w:rPr>
          <w:szCs w:val="24"/>
        </w:rPr>
        <w:t>Ofertas consideradas para el despacho económico</w:t>
      </w:r>
      <w:r w:rsidR="003D1442">
        <w:rPr>
          <w:szCs w:val="24"/>
        </w:rPr>
        <w:t>, redespacho</w:t>
      </w:r>
      <w:r w:rsidRPr="00400814">
        <w:rPr>
          <w:szCs w:val="24"/>
        </w:rPr>
        <w:t xml:space="preserve"> </w:t>
      </w:r>
      <w:r w:rsidR="00430879">
        <w:rPr>
          <w:szCs w:val="24"/>
        </w:rPr>
        <w:t xml:space="preserve">y para </w:t>
      </w:r>
      <w:r w:rsidR="00847143">
        <w:rPr>
          <w:szCs w:val="24"/>
        </w:rPr>
        <w:t>el</w:t>
      </w:r>
      <w:r w:rsidR="003D1442">
        <w:rPr>
          <w:szCs w:val="24"/>
        </w:rPr>
        <w:t xml:space="preserve"> despacho</w:t>
      </w:r>
      <w:r w:rsidR="00847143">
        <w:rPr>
          <w:szCs w:val="24"/>
        </w:rPr>
        <w:t xml:space="preserve"> </w:t>
      </w:r>
      <w:r w:rsidR="00847143" w:rsidRPr="00400814">
        <w:rPr>
          <w:szCs w:val="24"/>
        </w:rPr>
        <w:t>ideal</w:t>
      </w:r>
      <w:r w:rsidRPr="00400814">
        <w:rPr>
          <w:szCs w:val="24"/>
        </w:rPr>
        <w:t xml:space="preserve">. </w:t>
      </w:r>
      <w:r w:rsidRPr="00400814">
        <w:rPr>
          <w:b w:val="0"/>
          <w:bCs/>
          <w:szCs w:val="24"/>
        </w:rPr>
        <w:t xml:space="preserve"> El CND </w:t>
      </w:r>
      <w:r w:rsidR="003E1C6B">
        <w:rPr>
          <w:b w:val="0"/>
          <w:bCs/>
          <w:szCs w:val="24"/>
        </w:rPr>
        <w:t xml:space="preserve">y el ASIC </w:t>
      </w:r>
      <w:r w:rsidRPr="00400814">
        <w:rPr>
          <w:b w:val="0"/>
          <w:bCs/>
          <w:szCs w:val="24"/>
        </w:rPr>
        <w:t>deberá emplear</w:t>
      </w:r>
      <w:r w:rsidR="003A4EF5">
        <w:rPr>
          <w:b w:val="0"/>
          <w:bCs/>
          <w:szCs w:val="24"/>
        </w:rPr>
        <w:t xml:space="preserve"> tanto</w:t>
      </w:r>
      <w:r w:rsidRPr="00400814">
        <w:rPr>
          <w:b w:val="0"/>
          <w:bCs/>
          <w:szCs w:val="24"/>
        </w:rPr>
        <w:t xml:space="preserve"> para el despacho económico</w:t>
      </w:r>
      <w:r w:rsidR="003A4EF5">
        <w:rPr>
          <w:b w:val="0"/>
          <w:bCs/>
          <w:szCs w:val="24"/>
        </w:rPr>
        <w:t xml:space="preserve"> como para el despacho </w:t>
      </w:r>
      <w:r w:rsidRPr="00400814">
        <w:rPr>
          <w:b w:val="0"/>
          <w:bCs/>
          <w:szCs w:val="24"/>
        </w:rPr>
        <w:t>ideal, las ofertas ajustadas de que trata el artículo 4 de la presente resolución.</w:t>
      </w:r>
    </w:p>
    <w:p w14:paraId="2074A02D" w14:textId="51F804C1" w:rsidR="0047553B" w:rsidRPr="00400814" w:rsidRDefault="009448D2" w:rsidP="0087026E">
      <w:pPr>
        <w:spacing w:before="240" w:after="240"/>
        <w:ind w:left="0"/>
        <w:jc w:val="both"/>
        <w:rPr>
          <w:rFonts w:ascii="Bookman Old Style" w:hAnsi="Bookman Old Style"/>
        </w:rPr>
      </w:pPr>
      <w:r>
        <w:rPr>
          <w:rFonts w:ascii="Bookman Old Style" w:hAnsi="Bookman Old Style"/>
        </w:rPr>
        <w:t>El ASIC seguirá calculando e</w:t>
      </w:r>
      <w:r w:rsidR="0047553B" w:rsidRPr="00400814">
        <w:rPr>
          <w:rFonts w:ascii="Bookman Old Style" w:hAnsi="Bookman Old Style"/>
        </w:rPr>
        <w:t>l precio de bolsa nacional</w:t>
      </w:r>
      <w:r w:rsidR="001046E7" w:rsidRPr="00400814">
        <w:rPr>
          <w:rFonts w:ascii="Bookman Old Style" w:hAnsi="Bookman Old Style"/>
        </w:rPr>
        <w:t xml:space="preserve"> (PBN)</w:t>
      </w:r>
      <w:r w:rsidR="003A4EF5">
        <w:rPr>
          <w:rFonts w:ascii="Bookman Old Style" w:hAnsi="Bookman Old Style"/>
        </w:rPr>
        <w:t xml:space="preserve"> de la manera</w:t>
      </w:r>
      <w:r w:rsidR="0047553B" w:rsidRPr="00400814">
        <w:rPr>
          <w:rFonts w:ascii="Bookman Old Style" w:hAnsi="Bookman Old Style"/>
        </w:rPr>
        <w:t xml:space="preserve"> definid</w:t>
      </w:r>
      <w:r w:rsidR="003A4EF5">
        <w:rPr>
          <w:rFonts w:ascii="Bookman Old Style" w:hAnsi="Bookman Old Style"/>
        </w:rPr>
        <w:t>a</w:t>
      </w:r>
      <w:r w:rsidR="0047553B" w:rsidRPr="00400814">
        <w:rPr>
          <w:rFonts w:ascii="Bookman Old Style" w:hAnsi="Bookman Old Style"/>
        </w:rPr>
        <w:t xml:space="preserve"> en la Resolución CREG 024 de 1995.</w:t>
      </w:r>
    </w:p>
    <w:p w14:paraId="135BD922" w14:textId="47B428E2" w:rsidR="008E734D" w:rsidRPr="00400814" w:rsidRDefault="001046E7" w:rsidP="00553540">
      <w:pPr>
        <w:pStyle w:val="Prrafodelista"/>
        <w:numPr>
          <w:ilvl w:val="0"/>
          <w:numId w:val="23"/>
        </w:numPr>
        <w:spacing w:before="240" w:after="240"/>
        <w:ind w:left="0" w:firstLine="0"/>
        <w:jc w:val="both"/>
        <w:rPr>
          <w:b w:val="0"/>
          <w:bCs/>
          <w:szCs w:val="24"/>
        </w:rPr>
      </w:pPr>
      <w:r w:rsidRPr="00400814">
        <w:rPr>
          <w:szCs w:val="24"/>
        </w:rPr>
        <w:t xml:space="preserve">Precio de bolsa nacional </w:t>
      </w:r>
      <w:r w:rsidR="00C313ED">
        <w:rPr>
          <w:szCs w:val="24"/>
        </w:rPr>
        <w:t>ajustado</w:t>
      </w:r>
      <w:r w:rsidRPr="00400814">
        <w:rPr>
          <w:szCs w:val="24"/>
        </w:rPr>
        <w:t xml:space="preserve"> (</w:t>
      </w:r>
      <w:r w:rsidR="007D6DBD" w:rsidRPr="00400814">
        <w:rPr>
          <w:szCs w:val="24"/>
        </w:rPr>
        <w:t>PBN</w:t>
      </w:r>
      <w:r w:rsidR="007D6DBD">
        <w:rPr>
          <w:szCs w:val="24"/>
        </w:rPr>
        <w:t>A</w:t>
      </w:r>
      <w:r w:rsidRPr="00400814">
        <w:rPr>
          <w:szCs w:val="24"/>
        </w:rPr>
        <w:t xml:space="preserve">): </w:t>
      </w:r>
      <w:r w:rsidRPr="00400814">
        <w:rPr>
          <w:b w:val="0"/>
          <w:bCs/>
          <w:szCs w:val="24"/>
        </w:rPr>
        <w:t xml:space="preserve"> El precio de bolsa nacional </w:t>
      </w:r>
      <w:r w:rsidR="00C313ED">
        <w:rPr>
          <w:b w:val="0"/>
          <w:bCs/>
          <w:szCs w:val="24"/>
        </w:rPr>
        <w:t xml:space="preserve">ajustado </w:t>
      </w:r>
      <w:r w:rsidR="00A02276">
        <w:rPr>
          <w:b w:val="0"/>
          <w:bCs/>
          <w:szCs w:val="24"/>
        </w:rPr>
        <w:t xml:space="preserve">(PBNA) </w:t>
      </w:r>
      <w:r w:rsidR="00BA0D98">
        <w:rPr>
          <w:b w:val="0"/>
          <w:bCs/>
          <w:szCs w:val="24"/>
        </w:rPr>
        <w:t xml:space="preserve">será </w:t>
      </w:r>
      <w:r w:rsidRPr="00400814">
        <w:rPr>
          <w:b w:val="0"/>
          <w:bCs/>
          <w:szCs w:val="24"/>
        </w:rPr>
        <w:t>de 532 $/kWh.</w:t>
      </w:r>
    </w:p>
    <w:p w14:paraId="4A70210C" w14:textId="7F78BF33" w:rsidR="001046E7" w:rsidRPr="00400814" w:rsidRDefault="00D13176" w:rsidP="0087026E">
      <w:pPr>
        <w:spacing w:before="240" w:after="240"/>
        <w:ind w:left="0"/>
        <w:jc w:val="both"/>
        <w:rPr>
          <w:rFonts w:ascii="Bookman Old Style" w:hAnsi="Bookman Old Style"/>
          <w:bCs/>
          <w:lang w:val="es-CO"/>
        </w:rPr>
      </w:pPr>
      <w:r w:rsidRPr="00400814">
        <w:rPr>
          <w:rFonts w:ascii="Bookman Old Style" w:hAnsi="Bookman Old Style"/>
          <w:bCs/>
          <w:lang w:val="es-CO"/>
        </w:rPr>
        <w:t>En caso de que no haya generación térmica en mérito en el despacho ideal la variable PBN</w:t>
      </w:r>
      <w:r w:rsidR="006175D2">
        <w:rPr>
          <w:rFonts w:ascii="Bookman Old Style" w:hAnsi="Bookman Old Style"/>
          <w:bCs/>
          <w:lang w:val="es-CO"/>
        </w:rPr>
        <w:t>A</w:t>
      </w:r>
      <w:r w:rsidRPr="00400814">
        <w:rPr>
          <w:rFonts w:ascii="Bookman Old Style" w:hAnsi="Bookman Old Style"/>
          <w:bCs/>
          <w:lang w:val="es-CO"/>
        </w:rPr>
        <w:t xml:space="preserve"> será igual a la variable PBN.</w:t>
      </w:r>
    </w:p>
    <w:p w14:paraId="6A88DD1E" w14:textId="564C107F" w:rsidR="00D13176" w:rsidRPr="00400814" w:rsidRDefault="00D13176" w:rsidP="0087026E">
      <w:pPr>
        <w:spacing w:before="240" w:after="240"/>
        <w:ind w:left="0"/>
        <w:jc w:val="both"/>
        <w:rPr>
          <w:rFonts w:ascii="Bookman Old Style" w:hAnsi="Bookman Old Style"/>
          <w:bCs/>
          <w:lang w:val="es-CO"/>
        </w:rPr>
      </w:pPr>
      <w:r w:rsidRPr="00400814">
        <w:rPr>
          <w:rFonts w:ascii="Bookman Old Style" w:hAnsi="Bookman Old Style"/>
          <w:bCs/>
          <w:lang w:val="es-CO"/>
        </w:rPr>
        <w:t>Las transacciones del mercado nacional se liquida</w:t>
      </w:r>
      <w:r w:rsidR="00575686">
        <w:rPr>
          <w:rFonts w:ascii="Bookman Old Style" w:hAnsi="Bookman Old Style"/>
          <w:bCs/>
          <w:lang w:val="es-CO"/>
        </w:rPr>
        <w:t>rá</w:t>
      </w:r>
      <w:r w:rsidRPr="00400814">
        <w:rPr>
          <w:rFonts w:ascii="Bookman Old Style" w:hAnsi="Bookman Old Style"/>
          <w:bCs/>
          <w:lang w:val="es-CO"/>
        </w:rPr>
        <w:t>n con la variable PBN</w:t>
      </w:r>
      <w:r w:rsidR="00056DE4">
        <w:rPr>
          <w:rFonts w:ascii="Bookman Old Style" w:hAnsi="Bookman Old Style"/>
          <w:bCs/>
          <w:lang w:val="es-CO"/>
        </w:rPr>
        <w:t>A</w:t>
      </w:r>
      <w:r w:rsidRPr="00400814">
        <w:rPr>
          <w:rFonts w:ascii="Bookman Old Style" w:hAnsi="Bookman Old Style"/>
          <w:bCs/>
          <w:lang w:val="es-CO"/>
        </w:rPr>
        <w:t>.</w:t>
      </w:r>
    </w:p>
    <w:p w14:paraId="4172B1AE" w14:textId="10B521FB" w:rsidR="003865EA" w:rsidRPr="00400814" w:rsidRDefault="00D2162E" w:rsidP="0087026E">
      <w:pPr>
        <w:pStyle w:val="Prrafodelista"/>
        <w:numPr>
          <w:ilvl w:val="0"/>
          <w:numId w:val="23"/>
        </w:numPr>
        <w:spacing w:before="240" w:after="240"/>
        <w:ind w:left="0" w:firstLine="0"/>
        <w:jc w:val="both"/>
        <w:rPr>
          <w:szCs w:val="24"/>
        </w:rPr>
      </w:pPr>
      <w:r w:rsidRPr="00400814">
        <w:rPr>
          <w:szCs w:val="24"/>
        </w:rPr>
        <w:t>C</w:t>
      </w:r>
      <w:r w:rsidR="00575686">
        <w:rPr>
          <w:szCs w:val="24"/>
        </w:rPr>
        <w:t>á</w:t>
      </w:r>
      <w:r w:rsidRPr="00400814">
        <w:rPr>
          <w:szCs w:val="24"/>
        </w:rPr>
        <w:t xml:space="preserve">lculo y asignación de la remuneración a plantas con precios por encima del precio bolsa </w:t>
      </w:r>
      <w:r w:rsidR="00943459">
        <w:rPr>
          <w:szCs w:val="24"/>
        </w:rPr>
        <w:t xml:space="preserve">nacional </w:t>
      </w:r>
      <w:r w:rsidR="00056DE4">
        <w:rPr>
          <w:szCs w:val="24"/>
        </w:rPr>
        <w:t>ajustado</w:t>
      </w:r>
      <w:r w:rsidRPr="00400814">
        <w:rPr>
          <w:szCs w:val="24"/>
        </w:rPr>
        <w:t xml:space="preserve">. </w:t>
      </w:r>
      <w:r w:rsidR="003865EA" w:rsidRPr="00400814">
        <w:rPr>
          <w:b w:val="0"/>
          <w:bCs/>
          <w:szCs w:val="24"/>
        </w:rPr>
        <w:t xml:space="preserve">Cuando </w:t>
      </w:r>
      <w:r w:rsidR="003865EA" w:rsidRPr="00EE5CA7">
        <w:rPr>
          <w:b w:val="0"/>
          <w:bCs/>
          <w:szCs w:val="24"/>
        </w:rPr>
        <w:t>el precio de bolsa nacional (PBN)</w:t>
      </w:r>
      <w:r w:rsidR="003865EA" w:rsidRPr="00400814">
        <w:rPr>
          <w:b w:val="0"/>
          <w:bCs/>
          <w:szCs w:val="24"/>
        </w:rPr>
        <w:t xml:space="preserve"> </w:t>
      </w:r>
      <w:r w:rsidR="00575686">
        <w:rPr>
          <w:b w:val="0"/>
          <w:bCs/>
          <w:szCs w:val="24"/>
        </w:rPr>
        <w:t>sea</w:t>
      </w:r>
      <w:r w:rsidR="003865EA" w:rsidRPr="00400814">
        <w:rPr>
          <w:b w:val="0"/>
          <w:bCs/>
          <w:szCs w:val="24"/>
        </w:rPr>
        <w:t xml:space="preserve"> menor o igual al precio de escasez de activación (PEA), Resolución CREG 140 de 2017, se aplicará</w:t>
      </w:r>
      <w:r w:rsidR="00E46E6B">
        <w:rPr>
          <w:b w:val="0"/>
          <w:bCs/>
          <w:szCs w:val="24"/>
        </w:rPr>
        <w:t>n</w:t>
      </w:r>
      <w:r w:rsidR="003865EA" w:rsidRPr="00400814">
        <w:rPr>
          <w:b w:val="0"/>
          <w:bCs/>
          <w:szCs w:val="24"/>
        </w:rPr>
        <w:t xml:space="preserve"> la</w:t>
      </w:r>
      <w:r w:rsidR="00D13176" w:rsidRPr="00400814">
        <w:rPr>
          <w:b w:val="0"/>
          <w:bCs/>
          <w:szCs w:val="24"/>
        </w:rPr>
        <w:t>s</w:t>
      </w:r>
      <w:r w:rsidR="003865EA" w:rsidRPr="00400814">
        <w:rPr>
          <w:b w:val="0"/>
          <w:bCs/>
          <w:szCs w:val="24"/>
        </w:rPr>
        <w:t xml:space="preserve"> siguientes reglas:</w:t>
      </w:r>
    </w:p>
    <w:p w14:paraId="3FFBC68A" w14:textId="0DC6787E" w:rsidR="00D2162E" w:rsidRPr="00400814" w:rsidRDefault="00A31C54" w:rsidP="0087026E">
      <w:pPr>
        <w:pStyle w:val="Prrafodelista"/>
        <w:numPr>
          <w:ilvl w:val="0"/>
          <w:numId w:val="27"/>
        </w:numPr>
        <w:spacing w:before="240" w:after="240"/>
        <w:jc w:val="both"/>
        <w:rPr>
          <w:b w:val="0"/>
          <w:bCs/>
          <w:szCs w:val="24"/>
        </w:rPr>
      </w:pPr>
      <w:r w:rsidRPr="00400814">
        <w:rPr>
          <w:b w:val="0"/>
          <w:bCs/>
          <w:szCs w:val="24"/>
        </w:rPr>
        <w:lastRenderedPageBreak/>
        <w:t>Remuneración de las p</w:t>
      </w:r>
      <w:r w:rsidR="00D13176" w:rsidRPr="00400814">
        <w:rPr>
          <w:b w:val="0"/>
          <w:bCs/>
          <w:szCs w:val="24"/>
        </w:rPr>
        <w:t>lantas con oferta ajusta</w:t>
      </w:r>
      <w:r w:rsidR="00D71FB4">
        <w:rPr>
          <w:b w:val="0"/>
          <w:bCs/>
          <w:szCs w:val="24"/>
        </w:rPr>
        <w:t>da</w:t>
      </w:r>
      <w:r w:rsidR="00D13176" w:rsidRPr="00400814">
        <w:rPr>
          <w:b w:val="0"/>
          <w:bCs/>
          <w:szCs w:val="24"/>
        </w:rPr>
        <w:t xml:space="preserve"> superior al </w:t>
      </w:r>
      <w:r w:rsidR="00E46E6B" w:rsidRPr="00400814">
        <w:rPr>
          <w:b w:val="0"/>
          <w:bCs/>
          <w:szCs w:val="24"/>
        </w:rPr>
        <w:t>PBN</w:t>
      </w:r>
      <w:r w:rsidR="00E46E6B">
        <w:rPr>
          <w:b w:val="0"/>
          <w:bCs/>
          <w:szCs w:val="24"/>
        </w:rPr>
        <w:t>A</w:t>
      </w:r>
      <w:r w:rsidR="00D13176" w:rsidRPr="00400814">
        <w:rPr>
          <w:b w:val="0"/>
          <w:bCs/>
          <w:szCs w:val="24"/>
        </w:rPr>
        <w:t xml:space="preserve">. </w:t>
      </w:r>
    </w:p>
    <w:p w14:paraId="20C2EE9E" w14:textId="1BFFCDAD" w:rsidR="00561593" w:rsidRPr="00400814" w:rsidRDefault="00561593" w:rsidP="0087026E">
      <w:pPr>
        <w:pStyle w:val="Prrafodelista"/>
        <w:numPr>
          <w:ilvl w:val="1"/>
          <w:numId w:val="27"/>
        </w:numPr>
        <w:spacing w:before="240" w:after="240"/>
        <w:jc w:val="both"/>
        <w:rPr>
          <w:b w:val="0"/>
          <w:bCs/>
          <w:szCs w:val="24"/>
        </w:rPr>
      </w:pPr>
      <w:r w:rsidRPr="00553540">
        <w:rPr>
          <w:szCs w:val="24"/>
        </w:rPr>
        <w:t>Plantas variables</w:t>
      </w:r>
      <w:r w:rsidRPr="00400814">
        <w:rPr>
          <w:b w:val="0"/>
          <w:bCs/>
          <w:szCs w:val="24"/>
        </w:rPr>
        <w:t xml:space="preserve">: La energía en mérito </w:t>
      </w:r>
      <w:r w:rsidR="002348DC">
        <w:rPr>
          <w:b w:val="0"/>
          <w:bCs/>
          <w:szCs w:val="24"/>
        </w:rPr>
        <w:t>de estas plantas</w:t>
      </w:r>
      <w:r w:rsidR="00FB073F">
        <w:rPr>
          <w:b w:val="0"/>
          <w:bCs/>
          <w:szCs w:val="24"/>
        </w:rPr>
        <w:t xml:space="preserve">, descontando </w:t>
      </w:r>
      <w:r w:rsidR="00E64118">
        <w:rPr>
          <w:b w:val="0"/>
          <w:bCs/>
          <w:szCs w:val="24"/>
        </w:rPr>
        <w:t xml:space="preserve">la energía en contratos, </w:t>
      </w:r>
      <w:r w:rsidRPr="00400814">
        <w:rPr>
          <w:b w:val="0"/>
          <w:bCs/>
          <w:szCs w:val="24"/>
        </w:rPr>
        <w:t>se remunera</w:t>
      </w:r>
      <w:r w:rsidR="006F7385">
        <w:rPr>
          <w:b w:val="0"/>
          <w:bCs/>
          <w:szCs w:val="24"/>
        </w:rPr>
        <w:t>rá</w:t>
      </w:r>
      <w:r w:rsidRPr="00400814">
        <w:rPr>
          <w:b w:val="0"/>
          <w:bCs/>
          <w:szCs w:val="24"/>
        </w:rPr>
        <w:t xml:space="preserve"> al </w:t>
      </w:r>
      <w:r w:rsidR="00E46E6B" w:rsidRPr="00400814">
        <w:rPr>
          <w:b w:val="0"/>
          <w:bCs/>
          <w:szCs w:val="24"/>
        </w:rPr>
        <w:t>PBN</w:t>
      </w:r>
      <w:r w:rsidR="00E46E6B">
        <w:rPr>
          <w:b w:val="0"/>
          <w:bCs/>
          <w:szCs w:val="24"/>
        </w:rPr>
        <w:t>A</w:t>
      </w:r>
      <w:r w:rsidRPr="00400814">
        <w:rPr>
          <w:b w:val="0"/>
          <w:bCs/>
          <w:szCs w:val="24"/>
        </w:rPr>
        <w:t>.</w:t>
      </w:r>
    </w:p>
    <w:p w14:paraId="5EA21845" w14:textId="264A70DB" w:rsidR="00561593" w:rsidRDefault="00561593" w:rsidP="0087026E">
      <w:pPr>
        <w:pStyle w:val="Prrafodelista"/>
        <w:numPr>
          <w:ilvl w:val="1"/>
          <w:numId w:val="27"/>
        </w:numPr>
        <w:spacing w:before="240" w:after="240"/>
        <w:jc w:val="both"/>
        <w:rPr>
          <w:b w:val="0"/>
          <w:bCs/>
          <w:szCs w:val="24"/>
        </w:rPr>
      </w:pPr>
      <w:r w:rsidRPr="00553540">
        <w:rPr>
          <w:szCs w:val="24"/>
        </w:rPr>
        <w:t>Plantas térmicas</w:t>
      </w:r>
      <w:r w:rsidRPr="00400814">
        <w:rPr>
          <w:b w:val="0"/>
          <w:bCs/>
          <w:szCs w:val="24"/>
        </w:rPr>
        <w:t>: La energía en mérito de estas plantas</w:t>
      </w:r>
      <w:r w:rsidR="00E64118">
        <w:rPr>
          <w:b w:val="0"/>
          <w:bCs/>
          <w:szCs w:val="24"/>
        </w:rPr>
        <w:t xml:space="preserve">, descontando la energía en contratos, </w:t>
      </w:r>
      <w:r w:rsidRPr="00400814">
        <w:rPr>
          <w:b w:val="0"/>
          <w:bCs/>
          <w:szCs w:val="24"/>
        </w:rPr>
        <w:t>se remunera</w:t>
      </w:r>
      <w:r w:rsidR="006F7385">
        <w:rPr>
          <w:b w:val="0"/>
          <w:bCs/>
          <w:szCs w:val="24"/>
        </w:rPr>
        <w:t>rá</w:t>
      </w:r>
      <w:r w:rsidRPr="00400814">
        <w:rPr>
          <w:b w:val="0"/>
          <w:bCs/>
          <w:szCs w:val="24"/>
        </w:rPr>
        <w:t xml:space="preserve"> con el último valor calculado de</w:t>
      </w:r>
      <w:r w:rsidR="008A4BBC">
        <w:rPr>
          <w:b w:val="0"/>
          <w:bCs/>
          <w:szCs w:val="24"/>
        </w:rPr>
        <w:t xml:space="preserve">: </w:t>
      </w:r>
      <w:r w:rsidR="008A4BBC" w:rsidRPr="00C541D8">
        <w:rPr>
          <w:b w:val="0"/>
          <w:bCs/>
        </w:rPr>
        <w:t>Costo de Suministro de Combustible (CSC), Costos de Transporte de Combustible (CTC), Costo de Operación Mantenimiento (COM) y Otros Costos Variables (OCV)</w:t>
      </w:r>
      <w:r w:rsidR="003B7AE5">
        <w:rPr>
          <w:b w:val="0"/>
          <w:bCs/>
        </w:rPr>
        <w:t>. La suma de dichos factores se increment</w:t>
      </w:r>
      <w:r w:rsidR="00F54D64">
        <w:rPr>
          <w:b w:val="0"/>
          <w:bCs/>
        </w:rPr>
        <w:t xml:space="preserve">ará en 1,05. Los costos de arranque – parada </w:t>
      </w:r>
      <w:r w:rsidR="001933D0">
        <w:rPr>
          <w:b w:val="0"/>
          <w:bCs/>
        </w:rPr>
        <w:t xml:space="preserve">(CAP) </w:t>
      </w:r>
      <w:r w:rsidR="00F54D64">
        <w:rPr>
          <w:b w:val="0"/>
          <w:bCs/>
        </w:rPr>
        <w:t>se remuneran en la medida que se hay</w:t>
      </w:r>
      <w:r w:rsidR="00075D93">
        <w:rPr>
          <w:b w:val="0"/>
          <w:bCs/>
        </w:rPr>
        <w:t xml:space="preserve">a dado el arranque </w:t>
      </w:r>
      <w:r w:rsidR="00B31F61">
        <w:rPr>
          <w:b w:val="0"/>
          <w:bCs/>
        </w:rPr>
        <w:t xml:space="preserve">en la operación </w:t>
      </w:r>
      <w:r w:rsidR="00075D93">
        <w:rPr>
          <w:b w:val="0"/>
          <w:bCs/>
        </w:rPr>
        <w:t>real y no está remune</w:t>
      </w:r>
      <w:r w:rsidR="000B54D9">
        <w:rPr>
          <w:b w:val="0"/>
          <w:bCs/>
        </w:rPr>
        <w:t>r</w:t>
      </w:r>
      <w:r w:rsidR="00075D93">
        <w:rPr>
          <w:b w:val="0"/>
          <w:bCs/>
        </w:rPr>
        <w:t xml:space="preserve">ado por </w:t>
      </w:r>
      <w:r w:rsidR="000B54D9">
        <w:rPr>
          <w:b w:val="0"/>
          <w:bCs/>
        </w:rPr>
        <w:t>reconciliación positiva</w:t>
      </w:r>
      <w:r w:rsidR="000B54D9">
        <w:rPr>
          <w:b w:val="0"/>
          <w:bCs/>
          <w:szCs w:val="24"/>
        </w:rPr>
        <w:t>.</w:t>
      </w:r>
    </w:p>
    <w:p w14:paraId="7A4C4728" w14:textId="3E508BEE" w:rsidR="00B31F61" w:rsidRPr="00400814" w:rsidRDefault="00737C11" w:rsidP="0087026E">
      <w:pPr>
        <w:pStyle w:val="Prrafodelista"/>
        <w:numPr>
          <w:ilvl w:val="1"/>
          <w:numId w:val="27"/>
        </w:numPr>
        <w:spacing w:before="240" w:after="240"/>
        <w:jc w:val="both"/>
        <w:rPr>
          <w:b w:val="0"/>
          <w:bCs/>
          <w:szCs w:val="24"/>
        </w:rPr>
      </w:pPr>
      <w:r w:rsidRPr="00553540">
        <w:rPr>
          <w:szCs w:val="24"/>
        </w:rPr>
        <w:t>Cubrimiento de contratos</w:t>
      </w:r>
      <w:r>
        <w:rPr>
          <w:b w:val="0"/>
          <w:bCs/>
          <w:szCs w:val="24"/>
        </w:rPr>
        <w:t>: A cada agente generador</w:t>
      </w:r>
      <w:r w:rsidR="00B74C72">
        <w:rPr>
          <w:b w:val="0"/>
          <w:bCs/>
          <w:szCs w:val="24"/>
        </w:rPr>
        <w:t xml:space="preserve">, el ASIC </w:t>
      </w:r>
      <w:r>
        <w:rPr>
          <w:b w:val="0"/>
          <w:bCs/>
          <w:szCs w:val="24"/>
        </w:rPr>
        <w:t xml:space="preserve">le ordenara </w:t>
      </w:r>
      <w:r w:rsidR="00622144">
        <w:rPr>
          <w:b w:val="0"/>
          <w:bCs/>
          <w:szCs w:val="24"/>
        </w:rPr>
        <w:t xml:space="preserve">sus recursos de </w:t>
      </w:r>
      <w:r w:rsidR="00744658">
        <w:rPr>
          <w:b w:val="0"/>
          <w:bCs/>
          <w:szCs w:val="24"/>
        </w:rPr>
        <w:t xml:space="preserve">generación en mérito de </w:t>
      </w:r>
      <w:r w:rsidR="00622144">
        <w:rPr>
          <w:b w:val="0"/>
          <w:bCs/>
          <w:szCs w:val="24"/>
        </w:rPr>
        <w:t xml:space="preserve">acuerdo con las ofertas </w:t>
      </w:r>
      <w:r w:rsidR="004C0EE4">
        <w:rPr>
          <w:b w:val="0"/>
          <w:bCs/>
          <w:szCs w:val="24"/>
        </w:rPr>
        <w:t>aj</w:t>
      </w:r>
      <w:r w:rsidR="004A44FE">
        <w:rPr>
          <w:b w:val="0"/>
          <w:bCs/>
          <w:szCs w:val="24"/>
        </w:rPr>
        <w:t>ustadas de que trata el artículo</w:t>
      </w:r>
      <w:r w:rsidR="00F530FC">
        <w:rPr>
          <w:b w:val="0"/>
          <w:bCs/>
          <w:szCs w:val="24"/>
        </w:rPr>
        <w:t xml:space="preserve"> 4,</w:t>
      </w:r>
      <w:r w:rsidR="00744658">
        <w:rPr>
          <w:b w:val="0"/>
          <w:bCs/>
          <w:szCs w:val="24"/>
        </w:rPr>
        <w:t xml:space="preserve"> para establecer el cubrimiento de contratos.</w:t>
      </w:r>
    </w:p>
    <w:p w14:paraId="504BD6C1" w14:textId="40D7BF90" w:rsidR="00561593" w:rsidRDefault="00561593" w:rsidP="0087026E">
      <w:pPr>
        <w:pStyle w:val="Prrafodelista"/>
        <w:numPr>
          <w:ilvl w:val="0"/>
          <w:numId w:val="27"/>
        </w:numPr>
        <w:spacing w:before="240" w:after="240"/>
        <w:jc w:val="both"/>
        <w:rPr>
          <w:b w:val="0"/>
          <w:szCs w:val="24"/>
        </w:rPr>
      </w:pPr>
      <w:r w:rsidRPr="00400814">
        <w:rPr>
          <w:b w:val="0"/>
          <w:szCs w:val="24"/>
        </w:rPr>
        <w:t xml:space="preserve">La diferencia entre </w:t>
      </w:r>
      <w:r w:rsidR="00A31C54" w:rsidRPr="00400814">
        <w:rPr>
          <w:b w:val="0"/>
          <w:szCs w:val="24"/>
        </w:rPr>
        <w:t xml:space="preserve">la </w:t>
      </w:r>
      <w:r w:rsidRPr="00400814">
        <w:rPr>
          <w:b w:val="0"/>
          <w:szCs w:val="24"/>
        </w:rPr>
        <w:t>remuneración</w:t>
      </w:r>
      <w:r w:rsidR="00A31C54" w:rsidRPr="00400814">
        <w:rPr>
          <w:b w:val="0"/>
          <w:szCs w:val="24"/>
        </w:rPr>
        <w:t xml:space="preserve"> a las plantas térmicas</w:t>
      </w:r>
      <w:r w:rsidRPr="00400814">
        <w:rPr>
          <w:b w:val="0"/>
          <w:szCs w:val="24"/>
        </w:rPr>
        <w:t xml:space="preserve"> y la </w:t>
      </w:r>
      <w:r w:rsidR="00B226A7" w:rsidRPr="00400814">
        <w:rPr>
          <w:b w:val="0"/>
          <w:szCs w:val="24"/>
        </w:rPr>
        <w:t xml:space="preserve">remuneración con la </w:t>
      </w:r>
      <w:r w:rsidRPr="00400814">
        <w:rPr>
          <w:b w:val="0"/>
          <w:szCs w:val="24"/>
        </w:rPr>
        <w:t xml:space="preserve">variable </w:t>
      </w:r>
      <w:r w:rsidR="007E142D" w:rsidRPr="00400814">
        <w:rPr>
          <w:b w:val="0"/>
          <w:szCs w:val="24"/>
        </w:rPr>
        <w:t>PBN</w:t>
      </w:r>
      <w:r w:rsidR="007E142D">
        <w:rPr>
          <w:b w:val="0"/>
          <w:szCs w:val="24"/>
        </w:rPr>
        <w:t>A</w:t>
      </w:r>
      <w:r w:rsidR="007E142D" w:rsidRPr="00400814">
        <w:rPr>
          <w:b w:val="0"/>
          <w:szCs w:val="24"/>
        </w:rPr>
        <w:t xml:space="preserve"> </w:t>
      </w:r>
      <w:r w:rsidRPr="00400814">
        <w:rPr>
          <w:b w:val="0"/>
          <w:szCs w:val="24"/>
        </w:rPr>
        <w:t xml:space="preserve">será asignada </w:t>
      </w:r>
      <w:r w:rsidR="008F1A87">
        <w:rPr>
          <w:b w:val="0"/>
          <w:szCs w:val="24"/>
        </w:rPr>
        <w:t xml:space="preserve">por el ASIC a </w:t>
      </w:r>
      <w:r w:rsidRPr="00400814">
        <w:rPr>
          <w:b w:val="0"/>
          <w:szCs w:val="24"/>
        </w:rPr>
        <w:t>l</w:t>
      </w:r>
      <w:r w:rsidR="008F1A87">
        <w:rPr>
          <w:b w:val="0"/>
          <w:szCs w:val="24"/>
        </w:rPr>
        <w:t>a</w:t>
      </w:r>
      <w:r w:rsidRPr="00400814">
        <w:rPr>
          <w:b w:val="0"/>
          <w:szCs w:val="24"/>
        </w:rPr>
        <w:t xml:space="preserve"> componente de restricciones</w:t>
      </w:r>
      <w:r w:rsidR="00842F56">
        <w:rPr>
          <w:b w:val="0"/>
          <w:szCs w:val="24"/>
        </w:rPr>
        <w:t>,</w:t>
      </w:r>
      <w:r w:rsidRPr="00400814">
        <w:rPr>
          <w:b w:val="0"/>
          <w:szCs w:val="24"/>
        </w:rPr>
        <w:t xml:space="preserve"> a prorrata de la demanda comercial.</w:t>
      </w:r>
      <w:r w:rsidR="00842F56">
        <w:rPr>
          <w:b w:val="0"/>
          <w:szCs w:val="24"/>
        </w:rPr>
        <w:t xml:space="preserve"> El comercializador </w:t>
      </w:r>
      <w:r w:rsidR="00C94C89">
        <w:rPr>
          <w:b w:val="0"/>
          <w:szCs w:val="24"/>
        </w:rPr>
        <w:t>incluirá esta diferencia en el Costo Unitario de prestación del servicio, Resolución CREG 119 de 2007</w:t>
      </w:r>
      <w:r w:rsidR="00C04437">
        <w:rPr>
          <w:b w:val="0"/>
          <w:szCs w:val="24"/>
        </w:rPr>
        <w:t>.</w:t>
      </w:r>
    </w:p>
    <w:p w14:paraId="684E3078" w14:textId="7E2BC5A0" w:rsidR="00A14A06" w:rsidRPr="0018144D" w:rsidRDefault="00035DA2" w:rsidP="00553540">
      <w:pPr>
        <w:pStyle w:val="Prrafodelista"/>
        <w:numPr>
          <w:ilvl w:val="0"/>
          <w:numId w:val="23"/>
        </w:numPr>
        <w:spacing w:before="240" w:after="240"/>
        <w:ind w:left="0" w:firstLine="0"/>
        <w:jc w:val="both"/>
      </w:pPr>
      <w:r>
        <w:rPr>
          <w:bCs/>
        </w:rPr>
        <w:t xml:space="preserve">Reconciliación negativa. </w:t>
      </w:r>
      <w:r w:rsidR="00C45C66" w:rsidRPr="00553540">
        <w:rPr>
          <w:b w:val="0"/>
          <w:bCs/>
        </w:rPr>
        <w:t>E</w:t>
      </w:r>
      <w:r w:rsidR="00BF7731" w:rsidRPr="00553540">
        <w:rPr>
          <w:b w:val="0"/>
          <w:bCs/>
        </w:rPr>
        <w:t>l ASIC hará los ajuste</w:t>
      </w:r>
      <w:r w:rsidR="00BB27FF" w:rsidRPr="00553540">
        <w:rPr>
          <w:b w:val="0"/>
          <w:bCs/>
        </w:rPr>
        <w:t>s</w:t>
      </w:r>
      <w:r w:rsidR="00BF7731" w:rsidRPr="00553540">
        <w:rPr>
          <w:b w:val="0"/>
          <w:bCs/>
        </w:rPr>
        <w:t xml:space="preserve"> a la liquidación para que el recurso de generación</w:t>
      </w:r>
      <w:r w:rsidR="007369B9">
        <w:rPr>
          <w:b w:val="0"/>
          <w:bCs/>
        </w:rPr>
        <w:t xml:space="preserve"> </w:t>
      </w:r>
      <w:r w:rsidR="00BF7731" w:rsidRPr="00553540">
        <w:rPr>
          <w:b w:val="0"/>
          <w:bCs/>
        </w:rPr>
        <w:t>que reconcilie negativamente</w:t>
      </w:r>
      <w:r w:rsidR="00BB27FF" w:rsidRPr="00553540">
        <w:rPr>
          <w:b w:val="0"/>
          <w:bCs/>
        </w:rPr>
        <w:t>,</w:t>
      </w:r>
      <w:r w:rsidR="00BF7731" w:rsidRPr="00553540">
        <w:rPr>
          <w:b w:val="0"/>
          <w:bCs/>
        </w:rPr>
        <w:t xml:space="preserve"> </w:t>
      </w:r>
      <w:r w:rsidR="00BF58C1" w:rsidRPr="00553540">
        <w:rPr>
          <w:b w:val="0"/>
          <w:bCs/>
        </w:rPr>
        <w:t xml:space="preserve">Resolución CREG 034 </w:t>
      </w:r>
      <w:r w:rsidR="00967493">
        <w:rPr>
          <w:b w:val="0"/>
          <w:bCs/>
        </w:rPr>
        <w:t>de</w:t>
      </w:r>
      <w:r w:rsidR="00BF58C1" w:rsidRPr="00553540">
        <w:rPr>
          <w:b w:val="0"/>
          <w:bCs/>
        </w:rPr>
        <w:t xml:space="preserve"> 2001, </w:t>
      </w:r>
      <w:r w:rsidR="001C0C70" w:rsidRPr="00553540">
        <w:rPr>
          <w:b w:val="0"/>
          <w:bCs/>
        </w:rPr>
        <w:t>devuelva la remuneración que se haya realizado.</w:t>
      </w:r>
      <w:r w:rsidR="00825158" w:rsidRPr="0018144D">
        <w:t xml:space="preserve"> </w:t>
      </w:r>
    </w:p>
    <w:p w14:paraId="2FABE722" w14:textId="1547834F" w:rsidR="00D2162E" w:rsidRPr="00400814" w:rsidRDefault="00C9435F" w:rsidP="0087026E">
      <w:pPr>
        <w:pStyle w:val="Prrafodelista"/>
        <w:numPr>
          <w:ilvl w:val="0"/>
          <w:numId w:val="23"/>
        </w:numPr>
        <w:spacing w:before="240" w:after="240"/>
        <w:ind w:left="0" w:firstLine="0"/>
        <w:jc w:val="both"/>
        <w:rPr>
          <w:szCs w:val="24"/>
        </w:rPr>
      </w:pPr>
      <w:r>
        <w:rPr>
          <w:szCs w:val="24"/>
          <w:lang w:val="es-ES"/>
        </w:rPr>
        <w:t xml:space="preserve">Reglas aplicables al </w:t>
      </w:r>
      <w:r w:rsidR="00D2162E" w:rsidRPr="00400814">
        <w:rPr>
          <w:szCs w:val="24"/>
          <w:lang w:val="es-ES"/>
        </w:rPr>
        <w:t>Cargo por Confiabilidad.</w:t>
      </w:r>
      <w:r w:rsidR="00E557D8">
        <w:rPr>
          <w:szCs w:val="24"/>
          <w:lang w:val="es-ES"/>
        </w:rPr>
        <w:t xml:space="preserve"> </w:t>
      </w:r>
      <w:r w:rsidR="00E557D8" w:rsidRPr="00200D67">
        <w:rPr>
          <w:b w:val="0"/>
          <w:bCs/>
          <w:szCs w:val="24"/>
          <w:lang w:val="es-ES"/>
        </w:rPr>
        <w:t>Durant</w:t>
      </w:r>
      <w:r w:rsidR="00E557D8">
        <w:rPr>
          <w:b w:val="0"/>
          <w:bCs/>
          <w:szCs w:val="24"/>
          <w:lang w:val="es-ES"/>
        </w:rPr>
        <w:t xml:space="preserve">e la aplicación de lo señalado en esta resolución se </w:t>
      </w:r>
      <w:r w:rsidR="00362787">
        <w:rPr>
          <w:b w:val="0"/>
          <w:bCs/>
          <w:szCs w:val="24"/>
          <w:lang w:val="es-ES"/>
        </w:rPr>
        <w:t>seguirán</w:t>
      </w:r>
      <w:r w:rsidR="00E557D8">
        <w:rPr>
          <w:b w:val="0"/>
          <w:bCs/>
          <w:szCs w:val="24"/>
          <w:lang w:val="es-ES"/>
        </w:rPr>
        <w:t xml:space="preserve"> las siguientes reglas </w:t>
      </w:r>
      <w:r w:rsidR="00253267">
        <w:rPr>
          <w:b w:val="0"/>
          <w:bCs/>
          <w:szCs w:val="24"/>
          <w:lang w:val="es-ES"/>
        </w:rPr>
        <w:t xml:space="preserve">en relación con el </w:t>
      </w:r>
      <w:r w:rsidR="00A31C54" w:rsidRPr="00400814">
        <w:rPr>
          <w:b w:val="0"/>
          <w:bCs/>
          <w:szCs w:val="24"/>
          <w:lang w:val="es-ES"/>
        </w:rPr>
        <w:t>cargo por confiabilidad:</w:t>
      </w:r>
    </w:p>
    <w:p w14:paraId="5097AFF7" w14:textId="1EB6D1A2" w:rsidR="00A31C54" w:rsidRPr="00400814" w:rsidRDefault="00A31C54" w:rsidP="0087026E">
      <w:pPr>
        <w:pStyle w:val="Prrafodelista"/>
        <w:numPr>
          <w:ilvl w:val="0"/>
          <w:numId w:val="28"/>
        </w:numPr>
        <w:spacing w:before="240" w:after="240"/>
        <w:jc w:val="both"/>
        <w:rPr>
          <w:b w:val="0"/>
          <w:bCs/>
          <w:szCs w:val="24"/>
        </w:rPr>
      </w:pPr>
      <w:r w:rsidRPr="00400814">
        <w:rPr>
          <w:b w:val="0"/>
          <w:bCs/>
          <w:szCs w:val="24"/>
        </w:rPr>
        <w:t>Las</w:t>
      </w:r>
      <w:r w:rsidR="005F3B61">
        <w:rPr>
          <w:b w:val="0"/>
          <w:bCs/>
          <w:szCs w:val="24"/>
        </w:rPr>
        <w:t xml:space="preserve"> </w:t>
      </w:r>
      <w:r w:rsidR="007E282D">
        <w:rPr>
          <w:b w:val="0"/>
          <w:bCs/>
          <w:szCs w:val="24"/>
        </w:rPr>
        <w:t xml:space="preserve">Obligaciones de Energía Firme- </w:t>
      </w:r>
      <w:r w:rsidRPr="00400814">
        <w:rPr>
          <w:b w:val="0"/>
          <w:bCs/>
          <w:szCs w:val="24"/>
        </w:rPr>
        <w:t>OEF</w:t>
      </w:r>
      <w:r w:rsidR="007E282D">
        <w:rPr>
          <w:b w:val="0"/>
          <w:bCs/>
          <w:szCs w:val="24"/>
        </w:rPr>
        <w:t>-</w:t>
      </w:r>
      <w:r w:rsidRPr="00400814">
        <w:rPr>
          <w:b w:val="0"/>
          <w:bCs/>
          <w:szCs w:val="24"/>
        </w:rPr>
        <w:t xml:space="preserve"> </w:t>
      </w:r>
      <w:r w:rsidR="00493FB2" w:rsidRPr="00400814">
        <w:rPr>
          <w:b w:val="0"/>
          <w:bCs/>
          <w:szCs w:val="24"/>
        </w:rPr>
        <w:t xml:space="preserve">serán </w:t>
      </w:r>
      <w:r w:rsidRPr="00400814">
        <w:rPr>
          <w:b w:val="0"/>
          <w:bCs/>
          <w:szCs w:val="24"/>
        </w:rPr>
        <w:t>exig</w:t>
      </w:r>
      <w:r w:rsidR="00493FB2" w:rsidRPr="00400814">
        <w:rPr>
          <w:b w:val="0"/>
          <w:bCs/>
          <w:szCs w:val="24"/>
        </w:rPr>
        <w:t xml:space="preserve">ibles a cada generador con obligaciones con el cargo por confiabilidad, </w:t>
      </w:r>
      <w:r w:rsidRPr="00400814">
        <w:rPr>
          <w:b w:val="0"/>
          <w:bCs/>
          <w:szCs w:val="24"/>
        </w:rPr>
        <w:t xml:space="preserve">cuando el precio bolsa nacional (PBN) </w:t>
      </w:r>
      <w:r w:rsidR="00493FB2" w:rsidRPr="00400814">
        <w:rPr>
          <w:b w:val="0"/>
          <w:bCs/>
          <w:szCs w:val="24"/>
        </w:rPr>
        <w:t>sea</w:t>
      </w:r>
      <w:r w:rsidRPr="00400814">
        <w:rPr>
          <w:b w:val="0"/>
          <w:bCs/>
          <w:szCs w:val="24"/>
        </w:rPr>
        <w:t xml:space="preserve"> superior al precio de escasez de activación</w:t>
      </w:r>
      <w:r w:rsidR="002D0581">
        <w:rPr>
          <w:b w:val="0"/>
          <w:bCs/>
          <w:szCs w:val="24"/>
        </w:rPr>
        <w:t xml:space="preserve"> (PEA)</w:t>
      </w:r>
      <w:r w:rsidRPr="00400814">
        <w:rPr>
          <w:b w:val="0"/>
          <w:bCs/>
          <w:szCs w:val="24"/>
        </w:rPr>
        <w:t>.</w:t>
      </w:r>
    </w:p>
    <w:p w14:paraId="5831F7C5" w14:textId="0ADFED66" w:rsidR="00493FB2" w:rsidRPr="00400814" w:rsidRDefault="00493FB2" w:rsidP="0087026E">
      <w:pPr>
        <w:pStyle w:val="Prrafodelista"/>
        <w:numPr>
          <w:ilvl w:val="0"/>
          <w:numId w:val="28"/>
        </w:numPr>
        <w:spacing w:before="240" w:after="240"/>
        <w:jc w:val="both"/>
        <w:rPr>
          <w:b w:val="0"/>
          <w:bCs/>
          <w:szCs w:val="24"/>
        </w:rPr>
      </w:pPr>
      <w:r w:rsidRPr="00400814">
        <w:rPr>
          <w:b w:val="0"/>
          <w:bCs/>
          <w:szCs w:val="24"/>
        </w:rPr>
        <w:t xml:space="preserve">Las desviaciones </w:t>
      </w:r>
      <w:r w:rsidR="00462F26" w:rsidRPr="00400814">
        <w:rPr>
          <w:b w:val="0"/>
          <w:bCs/>
          <w:szCs w:val="24"/>
        </w:rPr>
        <w:t xml:space="preserve">de OEF </w:t>
      </w:r>
      <w:r w:rsidRPr="00400814">
        <w:rPr>
          <w:b w:val="0"/>
          <w:bCs/>
          <w:szCs w:val="24"/>
        </w:rPr>
        <w:t>serán liquidadas de acuerdo con las reglas de las Resolución CREG 071 de 2006, considerando el PBN.</w:t>
      </w:r>
    </w:p>
    <w:p w14:paraId="700E2E6E" w14:textId="58DD2469" w:rsidR="00493FB2" w:rsidRPr="00400814" w:rsidRDefault="00493FB2" w:rsidP="0087026E">
      <w:pPr>
        <w:pStyle w:val="Prrafodelista"/>
        <w:numPr>
          <w:ilvl w:val="0"/>
          <w:numId w:val="28"/>
        </w:numPr>
        <w:spacing w:before="240" w:after="240"/>
        <w:jc w:val="both"/>
        <w:rPr>
          <w:b w:val="0"/>
          <w:szCs w:val="24"/>
        </w:rPr>
      </w:pPr>
      <w:r w:rsidRPr="00400814">
        <w:rPr>
          <w:b w:val="0"/>
          <w:szCs w:val="24"/>
        </w:rPr>
        <w:t>Las transacciones del mercado nacional se liquida</w:t>
      </w:r>
      <w:r w:rsidR="001035D6">
        <w:rPr>
          <w:b w:val="0"/>
          <w:szCs w:val="24"/>
        </w:rPr>
        <w:t>rán</w:t>
      </w:r>
      <w:r w:rsidRPr="00400814">
        <w:rPr>
          <w:b w:val="0"/>
          <w:szCs w:val="24"/>
        </w:rPr>
        <w:t xml:space="preserve"> con la variable </w:t>
      </w:r>
      <w:r w:rsidR="00E22912" w:rsidRPr="00400814">
        <w:rPr>
          <w:b w:val="0"/>
          <w:szCs w:val="24"/>
        </w:rPr>
        <w:t>PBN</w:t>
      </w:r>
      <w:r w:rsidR="00E22912">
        <w:rPr>
          <w:b w:val="0"/>
          <w:szCs w:val="24"/>
        </w:rPr>
        <w:t>A</w:t>
      </w:r>
      <w:r w:rsidRPr="00400814">
        <w:rPr>
          <w:b w:val="0"/>
          <w:szCs w:val="24"/>
        </w:rPr>
        <w:t>.</w:t>
      </w:r>
    </w:p>
    <w:p w14:paraId="50892623" w14:textId="46E42A22" w:rsidR="00B226A7" w:rsidRDefault="00AA5DD6" w:rsidP="008740BC">
      <w:pPr>
        <w:pStyle w:val="Prrafodelista"/>
        <w:numPr>
          <w:ilvl w:val="0"/>
          <w:numId w:val="28"/>
        </w:numPr>
        <w:spacing w:before="240" w:after="240"/>
        <w:jc w:val="both"/>
        <w:rPr>
          <w:b w:val="0"/>
          <w:szCs w:val="24"/>
        </w:rPr>
      </w:pPr>
      <w:r>
        <w:rPr>
          <w:b w:val="0"/>
          <w:bCs/>
          <w:szCs w:val="24"/>
        </w:rPr>
        <w:t xml:space="preserve">Para las transacciones </w:t>
      </w:r>
      <w:r w:rsidR="00886608">
        <w:rPr>
          <w:b w:val="0"/>
          <w:bCs/>
          <w:szCs w:val="24"/>
        </w:rPr>
        <w:t xml:space="preserve">de compra y venta </w:t>
      </w:r>
      <w:r>
        <w:rPr>
          <w:b w:val="0"/>
          <w:bCs/>
          <w:szCs w:val="24"/>
        </w:rPr>
        <w:t xml:space="preserve">en </w:t>
      </w:r>
      <w:r w:rsidR="00886608">
        <w:rPr>
          <w:b w:val="0"/>
          <w:bCs/>
          <w:szCs w:val="24"/>
        </w:rPr>
        <w:t xml:space="preserve">la </w:t>
      </w:r>
      <w:r>
        <w:rPr>
          <w:b w:val="0"/>
          <w:bCs/>
          <w:szCs w:val="24"/>
        </w:rPr>
        <w:t>bolsa</w:t>
      </w:r>
      <w:r w:rsidR="00C058DA">
        <w:rPr>
          <w:b w:val="0"/>
          <w:bCs/>
          <w:szCs w:val="24"/>
        </w:rPr>
        <w:t xml:space="preserve"> que se realicen </w:t>
      </w:r>
      <w:r w:rsidR="00886608">
        <w:rPr>
          <w:b w:val="0"/>
          <w:bCs/>
          <w:szCs w:val="24"/>
        </w:rPr>
        <w:t xml:space="preserve">durante </w:t>
      </w:r>
      <w:r w:rsidR="001B0A1B">
        <w:rPr>
          <w:b w:val="0"/>
          <w:bCs/>
          <w:szCs w:val="24"/>
        </w:rPr>
        <w:t xml:space="preserve">las </w:t>
      </w:r>
      <w:r w:rsidR="002F36DD">
        <w:rPr>
          <w:b w:val="0"/>
          <w:bCs/>
          <w:szCs w:val="24"/>
        </w:rPr>
        <w:t>h</w:t>
      </w:r>
      <w:r w:rsidR="001B0A1B">
        <w:rPr>
          <w:b w:val="0"/>
          <w:bCs/>
          <w:szCs w:val="24"/>
        </w:rPr>
        <w:t xml:space="preserve">oras en las cuales </w:t>
      </w:r>
      <w:r w:rsidR="002F36DD">
        <w:rPr>
          <w:b w:val="0"/>
          <w:bCs/>
          <w:szCs w:val="24"/>
        </w:rPr>
        <w:t xml:space="preserve">el PBN </w:t>
      </w:r>
      <w:r w:rsidR="00972EFA">
        <w:rPr>
          <w:b w:val="0"/>
          <w:bCs/>
          <w:szCs w:val="24"/>
        </w:rPr>
        <w:t>supera el PEA</w:t>
      </w:r>
      <w:r>
        <w:rPr>
          <w:b w:val="0"/>
          <w:bCs/>
          <w:szCs w:val="24"/>
        </w:rPr>
        <w:t xml:space="preserve">, </w:t>
      </w:r>
      <w:r w:rsidR="00C058DA">
        <w:rPr>
          <w:b w:val="0"/>
          <w:bCs/>
          <w:szCs w:val="24"/>
        </w:rPr>
        <w:t>l</w:t>
      </w:r>
      <w:r w:rsidR="00493FB2" w:rsidRPr="00EE5CA7">
        <w:rPr>
          <w:b w:val="0"/>
          <w:bCs/>
          <w:szCs w:val="24"/>
        </w:rPr>
        <w:t xml:space="preserve">a diferencia entre </w:t>
      </w:r>
      <w:r w:rsidR="00B226A7" w:rsidRPr="00EE5CA7">
        <w:rPr>
          <w:b w:val="0"/>
          <w:bCs/>
          <w:szCs w:val="24"/>
        </w:rPr>
        <w:t>la remuneración al</w:t>
      </w:r>
      <w:r w:rsidR="00493FB2" w:rsidRPr="00EE5CA7">
        <w:rPr>
          <w:b w:val="0"/>
          <w:bCs/>
          <w:szCs w:val="24"/>
        </w:rPr>
        <w:t xml:space="preserve"> precio de escasez ponderado (</w:t>
      </w:r>
      <w:proofErr w:type="spellStart"/>
      <w:r w:rsidR="00493FB2" w:rsidRPr="00EE5CA7">
        <w:rPr>
          <w:b w:val="0"/>
          <w:bCs/>
          <w:szCs w:val="24"/>
        </w:rPr>
        <w:t>PEp</w:t>
      </w:r>
      <w:proofErr w:type="spellEnd"/>
      <w:r w:rsidR="00493FB2" w:rsidRPr="00EE5CA7">
        <w:rPr>
          <w:b w:val="0"/>
          <w:bCs/>
          <w:szCs w:val="24"/>
        </w:rPr>
        <w:t xml:space="preserve">) y </w:t>
      </w:r>
      <w:r w:rsidR="00B226A7" w:rsidRPr="00EE5CA7">
        <w:rPr>
          <w:b w:val="0"/>
          <w:bCs/>
          <w:szCs w:val="24"/>
        </w:rPr>
        <w:t xml:space="preserve">la remuneración a la variable </w:t>
      </w:r>
      <w:r w:rsidR="006A1EF4" w:rsidRPr="00EE5CA7">
        <w:rPr>
          <w:b w:val="0"/>
          <w:bCs/>
          <w:szCs w:val="24"/>
        </w:rPr>
        <w:t>PBNA</w:t>
      </w:r>
      <w:r w:rsidR="006169AD">
        <w:rPr>
          <w:b w:val="0"/>
          <w:bCs/>
          <w:szCs w:val="24"/>
        </w:rPr>
        <w:t xml:space="preserve">, </w:t>
      </w:r>
      <w:r w:rsidR="00493FB2" w:rsidRPr="00EE5CA7">
        <w:rPr>
          <w:b w:val="0"/>
          <w:bCs/>
          <w:szCs w:val="24"/>
        </w:rPr>
        <w:t xml:space="preserve">será </w:t>
      </w:r>
      <w:r w:rsidR="00B226A7" w:rsidRPr="00EE5CA7">
        <w:rPr>
          <w:b w:val="0"/>
          <w:szCs w:val="24"/>
        </w:rPr>
        <w:t>asignada al componente de restricciones del Costo Unitario de prestación del servicio,</w:t>
      </w:r>
      <w:r w:rsidR="00871FE8">
        <w:rPr>
          <w:b w:val="0"/>
          <w:szCs w:val="24"/>
        </w:rPr>
        <w:t xml:space="preserve"> como lo establece la</w:t>
      </w:r>
      <w:r w:rsidR="00B226A7" w:rsidRPr="00EE5CA7">
        <w:rPr>
          <w:b w:val="0"/>
          <w:szCs w:val="24"/>
        </w:rPr>
        <w:t xml:space="preserve"> Resolución CREG 119 de 2007, a prorrata de la demanda comercial.</w:t>
      </w:r>
    </w:p>
    <w:p w14:paraId="5201512C" w14:textId="086EEFD9" w:rsidR="00B226A7" w:rsidRPr="00400814" w:rsidRDefault="00462F26" w:rsidP="008740BC">
      <w:pPr>
        <w:pStyle w:val="Prrafodelista"/>
        <w:numPr>
          <w:ilvl w:val="0"/>
          <w:numId w:val="28"/>
        </w:numPr>
        <w:spacing w:before="240" w:after="240"/>
        <w:jc w:val="both"/>
        <w:rPr>
          <w:b w:val="0"/>
          <w:szCs w:val="24"/>
        </w:rPr>
      </w:pPr>
      <w:r w:rsidRPr="00400814">
        <w:rPr>
          <w:b w:val="0"/>
          <w:szCs w:val="24"/>
        </w:rPr>
        <w:lastRenderedPageBreak/>
        <w:t>Las demás reglas del cargo serán las previstas en la regulación vigente.</w:t>
      </w:r>
    </w:p>
    <w:p w14:paraId="39E24504" w14:textId="7BCEE003" w:rsidR="002C33B9" w:rsidRPr="00597829" w:rsidRDefault="00193E19" w:rsidP="0087026E">
      <w:pPr>
        <w:pStyle w:val="Prrafodelista"/>
        <w:numPr>
          <w:ilvl w:val="0"/>
          <w:numId w:val="23"/>
        </w:numPr>
        <w:spacing w:before="240" w:after="240"/>
        <w:ind w:left="0" w:firstLine="0"/>
        <w:jc w:val="both"/>
        <w:rPr>
          <w:szCs w:val="24"/>
        </w:rPr>
      </w:pPr>
      <w:r>
        <w:rPr>
          <w:szCs w:val="24"/>
        </w:rPr>
        <w:t>Informes de aplicación de la norma.</w:t>
      </w:r>
      <w:r>
        <w:rPr>
          <w:b w:val="0"/>
          <w:bCs/>
          <w:szCs w:val="24"/>
        </w:rPr>
        <w:t xml:space="preserve"> EL ASIC y CND remitirán semanalmente a la SSPD</w:t>
      </w:r>
      <w:r w:rsidR="00CB677D">
        <w:rPr>
          <w:b w:val="0"/>
          <w:bCs/>
          <w:szCs w:val="24"/>
        </w:rPr>
        <w:t>, al MME</w:t>
      </w:r>
      <w:r>
        <w:rPr>
          <w:b w:val="0"/>
          <w:bCs/>
          <w:szCs w:val="24"/>
        </w:rPr>
        <w:t xml:space="preserve"> y la CREG un informe </w:t>
      </w:r>
      <w:r w:rsidR="00597829">
        <w:rPr>
          <w:b w:val="0"/>
          <w:bCs/>
          <w:szCs w:val="24"/>
        </w:rPr>
        <w:t>que contenga lo siguiente:</w:t>
      </w:r>
    </w:p>
    <w:p w14:paraId="097897D3" w14:textId="7F09BEB1" w:rsidR="00597829" w:rsidRDefault="00122AFF" w:rsidP="00C669CA">
      <w:pPr>
        <w:pStyle w:val="Prrafodelista"/>
        <w:numPr>
          <w:ilvl w:val="0"/>
          <w:numId w:val="32"/>
        </w:numPr>
        <w:spacing w:before="240" w:after="240"/>
        <w:jc w:val="both"/>
        <w:rPr>
          <w:b w:val="0"/>
          <w:bCs/>
        </w:rPr>
      </w:pPr>
      <w:r>
        <w:rPr>
          <w:b w:val="0"/>
          <w:bCs/>
        </w:rPr>
        <w:t xml:space="preserve">Resultado </w:t>
      </w:r>
      <w:r w:rsidR="006702DB">
        <w:rPr>
          <w:b w:val="0"/>
          <w:bCs/>
        </w:rPr>
        <w:t>de las ofertas ajustadas aplicadas</w:t>
      </w:r>
      <w:r>
        <w:rPr>
          <w:b w:val="0"/>
          <w:bCs/>
        </w:rPr>
        <w:t xml:space="preserve"> por planta.</w:t>
      </w:r>
    </w:p>
    <w:p w14:paraId="075D6D46" w14:textId="546DE151" w:rsidR="00122AFF" w:rsidRDefault="00C01790" w:rsidP="00C669CA">
      <w:pPr>
        <w:pStyle w:val="Prrafodelista"/>
        <w:numPr>
          <w:ilvl w:val="0"/>
          <w:numId w:val="32"/>
        </w:numPr>
        <w:spacing w:before="240" w:after="240"/>
        <w:jc w:val="both"/>
        <w:rPr>
          <w:b w:val="0"/>
          <w:bCs/>
        </w:rPr>
      </w:pPr>
      <w:r>
        <w:rPr>
          <w:b w:val="0"/>
          <w:bCs/>
        </w:rPr>
        <w:t>Plantas declaradas indispon</w:t>
      </w:r>
      <w:r w:rsidR="00FD1E2B">
        <w:rPr>
          <w:b w:val="0"/>
          <w:bCs/>
        </w:rPr>
        <w:t>i</w:t>
      </w:r>
      <w:r>
        <w:rPr>
          <w:b w:val="0"/>
          <w:bCs/>
        </w:rPr>
        <w:t xml:space="preserve">bles sin tener consignación </w:t>
      </w:r>
      <w:r w:rsidR="00FD1E2B">
        <w:rPr>
          <w:b w:val="0"/>
          <w:bCs/>
        </w:rPr>
        <w:t>para mantenimiento.</w:t>
      </w:r>
    </w:p>
    <w:p w14:paraId="7B5126DF" w14:textId="41E03CB8" w:rsidR="0002653F" w:rsidRDefault="0002653F" w:rsidP="00C669CA">
      <w:pPr>
        <w:pStyle w:val="Prrafodelista"/>
        <w:numPr>
          <w:ilvl w:val="0"/>
          <w:numId w:val="32"/>
        </w:numPr>
        <w:spacing w:before="240" w:after="240"/>
        <w:jc w:val="both"/>
        <w:rPr>
          <w:b w:val="0"/>
          <w:bCs/>
        </w:rPr>
      </w:pPr>
      <w:r>
        <w:rPr>
          <w:b w:val="0"/>
          <w:bCs/>
        </w:rPr>
        <w:t>Cantidades de energía por compras bolsa por agente.</w:t>
      </w:r>
    </w:p>
    <w:p w14:paraId="40A55E52" w14:textId="56D2FBCC" w:rsidR="007E1F69" w:rsidRDefault="006A788B" w:rsidP="00C669CA">
      <w:pPr>
        <w:pStyle w:val="Prrafodelista"/>
        <w:numPr>
          <w:ilvl w:val="0"/>
          <w:numId w:val="32"/>
        </w:numPr>
        <w:spacing w:before="240" w:after="240"/>
        <w:jc w:val="both"/>
        <w:rPr>
          <w:b w:val="0"/>
          <w:bCs/>
        </w:rPr>
      </w:pPr>
      <w:r>
        <w:rPr>
          <w:b w:val="0"/>
          <w:bCs/>
        </w:rPr>
        <w:t>Valores que se asignan a las restricciones</w:t>
      </w:r>
      <w:r w:rsidR="00833C52">
        <w:rPr>
          <w:b w:val="0"/>
          <w:bCs/>
        </w:rPr>
        <w:t xml:space="preserve">, de acuerdo con </w:t>
      </w:r>
      <w:r w:rsidR="0001489A">
        <w:rPr>
          <w:b w:val="0"/>
          <w:bCs/>
        </w:rPr>
        <w:t xml:space="preserve">los </w:t>
      </w:r>
      <w:r w:rsidR="00833C52">
        <w:rPr>
          <w:b w:val="0"/>
          <w:bCs/>
        </w:rPr>
        <w:t>artículo</w:t>
      </w:r>
      <w:r w:rsidR="0001489A">
        <w:rPr>
          <w:b w:val="0"/>
          <w:bCs/>
        </w:rPr>
        <w:t>s</w:t>
      </w:r>
      <w:r w:rsidR="00833C52">
        <w:rPr>
          <w:b w:val="0"/>
          <w:bCs/>
        </w:rPr>
        <w:t xml:space="preserve"> 7 </w:t>
      </w:r>
      <w:r w:rsidR="0001489A">
        <w:rPr>
          <w:b w:val="0"/>
          <w:bCs/>
        </w:rPr>
        <w:t>y 8 de la presente resolución.</w:t>
      </w:r>
    </w:p>
    <w:p w14:paraId="5B3CCB10" w14:textId="7712A2F6" w:rsidR="008B7478" w:rsidRPr="00C669CA" w:rsidRDefault="008B7478" w:rsidP="00C669CA">
      <w:pPr>
        <w:pStyle w:val="Prrafodelista"/>
        <w:numPr>
          <w:ilvl w:val="0"/>
          <w:numId w:val="32"/>
        </w:numPr>
        <w:spacing w:before="240" w:after="240"/>
        <w:jc w:val="both"/>
        <w:rPr>
          <w:b w:val="0"/>
          <w:bCs/>
        </w:rPr>
      </w:pPr>
      <w:r>
        <w:rPr>
          <w:b w:val="0"/>
          <w:bCs/>
        </w:rPr>
        <w:t>Demás elemento</w:t>
      </w:r>
      <w:r w:rsidR="0001489A">
        <w:rPr>
          <w:b w:val="0"/>
          <w:bCs/>
        </w:rPr>
        <w:t>s</w:t>
      </w:r>
      <w:r>
        <w:rPr>
          <w:b w:val="0"/>
          <w:bCs/>
        </w:rPr>
        <w:t xml:space="preserve"> relevantes que considere ASIC y CND.</w:t>
      </w:r>
    </w:p>
    <w:p w14:paraId="08368D67" w14:textId="23E358A3" w:rsidR="00D2162E" w:rsidRPr="00400814" w:rsidRDefault="00D2162E" w:rsidP="00200D67">
      <w:pPr>
        <w:pStyle w:val="Prrafodelista"/>
        <w:numPr>
          <w:ilvl w:val="0"/>
          <w:numId w:val="23"/>
        </w:numPr>
        <w:tabs>
          <w:tab w:val="left" w:pos="1560"/>
        </w:tabs>
        <w:spacing w:before="240" w:after="240"/>
        <w:ind w:left="0" w:firstLine="0"/>
        <w:jc w:val="both"/>
        <w:rPr>
          <w:szCs w:val="24"/>
        </w:rPr>
      </w:pPr>
      <w:r w:rsidRPr="00400814">
        <w:rPr>
          <w:szCs w:val="24"/>
        </w:rPr>
        <w:t xml:space="preserve">Implementación. </w:t>
      </w:r>
      <w:r w:rsidR="00C26A30" w:rsidRPr="00400814">
        <w:rPr>
          <w:b w:val="0"/>
          <w:bCs/>
          <w:szCs w:val="24"/>
        </w:rPr>
        <w:t>Para la implementación de la</w:t>
      </w:r>
      <w:r w:rsidR="00D41702" w:rsidRPr="00400814">
        <w:rPr>
          <w:b w:val="0"/>
          <w:bCs/>
          <w:szCs w:val="24"/>
        </w:rPr>
        <w:t>s</w:t>
      </w:r>
      <w:r w:rsidR="00C26A30" w:rsidRPr="00400814">
        <w:rPr>
          <w:b w:val="0"/>
          <w:bCs/>
          <w:szCs w:val="24"/>
        </w:rPr>
        <w:t xml:space="preserve"> reglas definidas en la presente resolución el CND y el ASIC deben:</w:t>
      </w:r>
    </w:p>
    <w:p w14:paraId="54E9FCD5" w14:textId="29C0749A" w:rsidR="00C26A30" w:rsidRPr="00400814" w:rsidRDefault="00C26A30" w:rsidP="0087026E">
      <w:pPr>
        <w:pStyle w:val="Prrafodelista"/>
        <w:numPr>
          <w:ilvl w:val="0"/>
          <w:numId w:val="29"/>
        </w:numPr>
        <w:spacing w:before="240" w:after="240"/>
        <w:jc w:val="both"/>
        <w:rPr>
          <w:b w:val="0"/>
          <w:bCs/>
          <w:szCs w:val="24"/>
        </w:rPr>
      </w:pPr>
      <w:r w:rsidRPr="00400814">
        <w:rPr>
          <w:b w:val="0"/>
          <w:bCs/>
          <w:szCs w:val="24"/>
          <w:lang w:val="es-ES"/>
        </w:rPr>
        <w:t xml:space="preserve">Hacer los ajustes </w:t>
      </w:r>
      <w:r w:rsidR="003F5632">
        <w:rPr>
          <w:b w:val="0"/>
          <w:bCs/>
          <w:szCs w:val="24"/>
          <w:lang w:val="es-ES"/>
        </w:rPr>
        <w:t xml:space="preserve">definidos en la presente resolución </w:t>
      </w:r>
      <w:r w:rsidR="00D41702" w:rsidRPr="00400814">
        <w:rPr>
          <w:b w:val="0"/>
          <w:bCs/>
          <w:szCs w:val="24"/>
          <w:lang w:val="es-ES"/>
        </w:rPr>
        <w:t>a la formulación matemática de l</w:t>
      </w:r>
      <w:r w:rsidRPr="00400814">
        <w:rPr>
          <w:b w:val="0"/>
          <w:bCs/>
          <w:szCs w:val="24"/>
          <w:lang w:val="es-ES"/>
        </w:rPr>
        <w:t>os procesos de despacho y liquidación.</w:t>
      </w:r>
    </w:p>
    <w:p w14:paraId="3A8D82AD" w14:textId="0CD8BCF7" w:rsidR="00486C03" w:rsidRPr="00400814" w:rsidRDefault="00C26A30" w:rsidP="0087026E">
      <w:pPr>
        <w:pStyle w:val="Prrafodelista"/>
        <w:numPr>
          <w:ilvl w:val="0"/>
          <w:numId w:val="29"/>
        </w:numPr>
        <w:spacing w:before="240" w:after="240"/>
        <w:jc w:val="both"/>
        <w:rPr>
          <w:szCs w:val="24"/>
        </w:rPr>
      </w:pPr>
      <w:r w:rsidRPr="00400814">
        <w:rPr>
          <w:b w:val="0"/>
          <w:bCs/>
          <w:szCs w:val="24"/>
          <w:lang w:val="es-ES"/>
        </w:rPr>
        <w:t xml:space="preserve">Hacer </w:t>
      </w:r>
      <w:r w:rsidR="00D41702" w:rsidRPr="00400814">
        <w:rPr>
          <w:b w:val="0"/>
          <w:bCs/>
          <w:szCs w:val="24"/>
          <w:lang w:val="es-ES"/>
        </w:rPr>
        <w:t>la implementación en los aplicativos que se requieran de las reglas previstas.</w:t>
      </w:r>
    </w:p>
    <w:p w14:paraId="737B5000" w14:textId="3FA667CD" w:rsidR="00D41702" w:rsidRPr="00400814" w:rsidRDefault="00D41702" w:rsidP="0087026E">
      <w:pPr>
        <w:pStyle w:val="Prrafodelista"/>
        <w:spacing w:before="240" w:after="240"/>
        <w:rPr>
          <w:b w:val="0"/>
          <w:bCs/>
          <w:szCs w:val="24"/>
        </w:rPr>
      </w:pPr>
      <w:r w:rsidRPr="00130B47">
        <w:rPr>
          <w:b w:val="0"/>
          <w:bCs/>
          <w:szCs w:val="24"/>
        </w:rPr>
        <w:t xml:space="preserve">Para lo anterior el CND y ASIC dispondrán de </w:t>
      </w:r>
      <w:r w:rsidR="006875E3">
        <w:rPr>
          <w:b w:val="0"/>
          <w:bCs/>
          <w:szCs w:val="24"/>
        </w:rPr>
        <w:t>8</w:t>
      </w:r>
      <w:r w:rsidR="006875E3" w:rsidRPr="00130B47">
        <w:rPr>
          <w:b w:val="0"/>
          <w:bCs/>
          <w:szCs w:val="24"/>
        </w:rPr>
        <w:t xml:space="preserve"> </w:t>
      </w:r>
      <w:r w:rsidRPr="00130B47">
        <w:rPr>
          <w:b w:val="0"/>
          <w:bCs/>
          <w:szCs w:val="24"/>
        </w:rPr>
        <w:t>días</w:t>
      </w:r>
      <w:r w:rsidR="006875E3">
        <w:rPr>
          <w:b w:val="0"/>
          <w:bCs/>
          <w:szCs w:val="24"/>
        </w:rPr>
        <w:t xml:space="preserve"> calendario</w:t>
      </w:r>
      <w:r w:rsidRPr="00130B47">
        <w:rPr>
          <w:b w:val="0"/>
          <w:bCs/>
          <w:szCs w:val="24"/>
        </w:rPr>
        <w:t>.</w:t>
      </w:r>
    </w:p>
    <w:p w14:paraId="2530967A" w14:textId="078E7EB0" w:rsidR="006C4CC7" w:rsidRPr="00ED654F" w:rsidRDefault="00D2162E" w:rsidP="00200D67">
      <w:pPr>
        <w:pStyle w:val="Prrafodelista"/>
        <w:numPr>
          <w:ilvl w:val="0"/>
          <w:numId w:val="23"/>
        </w:numPr>
        <w:tabs>
          <w:tab w:val="left" w:pos="1560"/>
        </w:tabs>
        <w:spacing w:before="240" w:after="240"/>
        <w:ind w:left="0" w:firstLine="0"/>
        <w:jc w:val="both"/>
        <w:rPr>
          <w:szCs w:val="24"/>
        </w:rPr>
      </w:pPr>
      <w:r w:rsidRPr="00400814">
        <w:rPr>
          <w:szCs w:val="24"/>
        </w:rPr>
        <w:t>Vigencia</w:t>
      </w:r>
      <w:r w:rsidR="00D41702" w:rsidRPr="00400814">
        <w:rPr>
          <w:szCs w:val="24"/>
        </w:rPr>
        <w:t xml:space="preserve">. </w:t>
      </w:r>
      <w:r w:rsidR="006C4CC7" w:rsidRPr="00400814">
        <w:rPr>
          <w:b w:val="0"/>
          <w:bCs/>
          <w:iCs/>
          <w:szCs w:val="24"/>
        </w:rPr>
        <w:t xml:space="preserve">Esta resolución rige a partir de su publicación en el </w:t>
      </w:r>
      <w:r w:rsidR="00E263AF" w:rsidRPr="00E263AF">
        <w:rPr>
          <w:b w:val="0"/>
          <w:bCs/>
          <w:i/>
          <w:szCs w:val="24"/>
        </w:rPr>
        <w:t>D</w:t>
      </w:r>
      <w:r w:rsidR="006C4CC7" w:rsidRPr="00E263AF">
        <w:rPr>
          <w:b w:val="0"/>
          <w:bCs/>
          <w:i/>
          <w:szCs w:val="24"/>
        </w:rPr>
        <w:t xml:space="preserve">iario </w:t>
      </w:r>
      <w:r w:rsidR="00E263AF" w:rsidRPr="00E263AF">
        <w:rPr>
          <w:b w:val="0"/>
          <w:bCs/>
          <w:i/>
          <w:szCs w:val="24"/>
        </w:rPr>
        <w:t>O</w:t>
      </w:r>
      <w:r w:rsidR="006C4CC7" w:rsidRPr="00E263AF">
        <w:rPr>
          <w:b w:val="0"/>
          <w:bCs/>
          <w:i/>
          <w:szCs w:val="24"/>
        </w:rPr>
        <w:t>ficial</w:t>
      </w:r>
      <w:r w:rsidR="00ED654F">
        <w:rPr>
          <w:b w:val="0"/>
          <w:bCs/>
          <w:i/>
          <w:szCs w:val="24"/>
        </w:rPr>
        <w:t>.</w:t>
      </w:r>
    </w:p>
    <w:p w14:paraId="688ECE9C" w14:textId="77777777" w:rsidR="00ED654F" w:rsidRPr="00ED654F" w:rsidRDefault="00ED654F" w:rsidP="00ED654F">
      <w:pPr>
        <w:pStyle w:val="Prrafodelista"/>
        <w:tabs>
          <w:tab w:val="left" w:pos="1560"/>
        </w:tabs>
        <w:spacing w:before="240" w:after="240"/>
        <w:jc w:val="both"/>
        <w:rPr>
          <w:szCs w:val="24"/>
        </w:rPr>
      </w:pPr>
    </w:p>
    <w:p w14:paraId="3B294BE9" w14:textId="77777777" w:rsidR="00ED654F" w:rsidRPr="00ED654F" w:rsidRDefault="00ED654F" w:rsidP="00ED654F">
      <w:pPr>
        <w:ind w:left="3119"/>
        <w:rPr>
          <w:b/>
        </w:rPr>
      </w:pPr>
      <w:r w:rsidRPr="00ED654F">
        <w:rPr>
          <w:b/>
        </w:rPr>
        <w:t>PUBLÍQUESE Y CÚMPLASE</w:t>
      </w:r>
    </w:p>
    <w:p w14:paraId="290DC6FE" w14:textId="77777777" w:rsidR="00ED654F" w:rsidRPr="00ED654F" w:rsidRDefault="00ED654F" w:rsidP="00ED654F">
      <w:pPr>
        <w:tabs>
          <w:tab w:val="left" w:pos="1560"/>
        </w:tabs>
        <w:spacing w:before="240" w:after="240"/>
        <w:jc w:val="both"/>
      </w:pPr>
    </w:p>
    <w:sectPr w:rsidR="00ED654F" w:rsidRPr="00ED654F" w:rsidSect="005A59EF">
      <w:headerReference w:type="default" r:id="rId17"/>
      <w:headerReference w:type="first" r:id="rId1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8631" w14:textId="77777777" w:rsidR="008346EF" w:rsidRDefault="008346EF">
      <w:r>
        <w:separator/>
      </w:r>
    </w:p>
  </w:endnote>
  <w:endnote w:type="continuationSeparator" w:id="0">
    <w:p w14:paraId="43BB8029" w14:textId="77777777" w:rsidR="008346EF" w:rsidRDefault="008346EF">
      <w:r>
        <w:continuationSeparator/>
      </w:r>
    </w:p>
  </w:endnote>
  <w:endnote w:type="continuationNotice" w:id="1">
    <w:p w14:paraId="5CAED8A9" w14:textId="77777777" w:rsidR="008346EF" w:rsidRDefault="00834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B6376" w14:textId="77777777" w:rsidR="008346EF" w:rsidRDefault="008346EF">
      <w:r>
        <w:separator/>
      </w:r>
    </w:p>
  </w:footnote>
  <w:footnote w:type="continuationSeparator" w:id="0">
    <w:p w14:paraId="4E7EA4A6" w14:textId="77777777" w:rsidR="008346EF" w:rsidRDefault="008346EF">
      <w:r>
        <w:continuationSeparator/>
      </w:r>
    </w:p>
  </w:footnote>
  <w:footnote w:type="continuationNotice" w:id="1">
    <w:p w14:paraId="1055770E" w14:textId="77777777" w:rsidR="008346EF" w:rsidRDefault="00834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87ED" w14:textId="77777777" w:rsidR="00CC51D4" w:rsidRDefault="00CC51D4" w:rsidP="00951F79">
    <w:pPr>
      <w:pStyle w:val="Ttulo1"/>
      <w:ind w:right="6"/>
      <w:jc w:val="left"/>
      <w:rPr>
        <w:rFonts w:ascii="Bookman Old Style" w:hAnsi="Bookman Old Style" w:cs="Arial"/>
        <w:b w:val="0"/>
        <w:sz w:val="22"/>
        <w:szCs w:val="22"/>
      </w:rPr>
    </w:pPr>
  </w:p>
  <w:p w14:paraId="267D8AF5" w14:textId="2FC88188"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w:t>
    </w:r>
    <w:r w:rsidR="00ED654F" w:rsidRPr="00ED654F">
      <w:rPr>
        <w:rFonts w:ascii="Bookman Old Style" w:hAnsi="Bookman Old Style" w:cs="Arial"/>
        <w:bCs/>
        <w:szCs w:val="24"/>
        <w:u w:val="single"/>
      </w:rPr>
      <w:t>701 028</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ED654F">
      <w:rPr>
        <w:rFonts w:ascii="Bookman Old Style" w:hAnsi="Bookman Old Style" w:cs="Arial"/>
        <w:b w:val="0"/>
        <w:sz w:val="22"/>
        <w:szCs w:val="22"/>
      </w:rPr>
      <w:t xml:space="preserve">   </w:t>
    </w:r>
    <w:r w:rsidR="00ED654F" w:rsidRPr="00ED654F">
      <w:rPr>
        <w:rFonts w:ascii="Bookman Old Style" w:hAnsi="Bookman Old Style" w:cs="Arial"/>
        <w:bCs/>
        <w:sz w:val="22"/>
        <w:szCs w:val="22"/>
        <w:u w:val="single"/>
      </w:rPr>
      <w:t>18 DIC. 2023</w:t>
    </w:r>
    <w:r w:rsidR="003D076C">
      <w:rPr>
        <w:rFonts w:ascii="Bookman Old Style" w:hAnsi="Bookman Old Style" w:cs="Arial"/>
        <w:b w:val="0"/>
        <w:sz w:val="22"/>
        <w:szCs w:val="22"/>
      </w:rPr>
      <w:tab/>
    </w:r>
    <w:r w:rsidR="00ED654F">
      <w:rPr>
        <w:rFonts w:ascii="Bookman Old Style" w:hAnsi="Bookman Old Style" w:cs="Arial"/>
        <w:b w:val="0"/>
        <w:sz w:val="22"/>
        <w:szCs w:val="22"/>
      </w:rPr>
      <w:t xml:space="preserve">                   </w:t>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6E7F41">
      <w:fldChar w:fldCharType="begin"/>
    </w:r>
    <w:r w:rsidR="006E7F41">
      <w:instrText>NUMPAGES  \* MERGEFORMAT</w:instrText>
    </w:r>
    <w:r w:rsidR="006E7F41">
      <w:fldChar w:fldCharType="separate"/>
    </w:r>
    <w:r w:rsidR="00F77D2D" w:rsidRPr="00F77D2D">
      <w:rPr>
        <w:rFonts w:ascii="Bookman Old Style" w:hAnsi="Bookman Old Style" w:cs="Arial"/>
        <w:b w:val="0"/>
        <w:noProof/>
        <w:sz w:val="22"/>
        <w:szCs w:val="22"/>
      </w:rPr>
      <w:t>2</w:t>
    </w:r>
    <w:r w:rsidR="006E7F41">
      <w:rPr>
        <w:rFonts w:ascii="Bookman Old Style" w:hAnsi="Bookman Old Style" w:cs="Arial"/>
        <w:b w:val="0"/>
        <w:noProof/>
        <w:sz w:val="22"/>
        <w:szCs w:val="22"/>
      </w:rPr>
      <w:fldChar w:fldCharType="end"/>
    </w:r>
  </w:p>
  <w:p w14:paraId="39489639" w14:textId="4A2B8A3C" w:rsidR="006F6D95" w:rsidRDefault="00DF16F5"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8240" behindDoc="0" locked="0" layoutInCell="1" allowOverlap="1" wp14:anchorId="381ACA9D" wp14:editId="11327453">
              <wp:simplePos x="0" y="0"/>
              <wp:positionH relativeFrom="column">
                <wp:posOffset>-175260</wp:posOffset>
              </wp:positionH>
              <wp:positionV relativeFrom="paragraph">
                <wp:posOffset>139065</wp:posOffset>
              </wp:positionV>
              <wp:extent cx="6267450" cy="9900920"/>
              <wp:effectExtent l="15240" t="15240" r="13335" b="1841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A60CD"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6086E3D" w14:textId="34A5B2A4" w:rsidR="0044318E" w:rsidRPr="00045D3D" w:rsidRDefault="0044318E"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A16"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273850B7" w14:textId="77777777" w:rsidR="00725FA4" w:rsidRDefault="00725FA4">
    <w:pPr>
      <w:pStyle w:val="Encabezado"/>
      <w:jc w:val="center"/>
      <w:rPr>
        <w:rFonts w:ascii="Arial" w:hAnsi="Arial" w:cs="Arial"/>
        <w:spacing w:val="20"/>
        <w:sz w:val="20"/>
      </w:rPr>
    </w:pPr>
  </w:p>
  <w:p w14:paraId="367D4456" w14:textId="76DA3229" w:rsidR="00725FA4" w:rsidRDefault="00DF16F5"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1"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46B5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7C3610"/>
    <w:multiLevelType w:val="hybridMultilevel"/>
    <w:tmpl w:val="3ABA6A88"/>
    <w:lvl w:ilvl="0" w:tplc="56B2540C">
      <w:start w:val="1"/>
      <w:numFmt w:val="lowerRoman"/>
      <w:lvlText w:val="%1."/>
      <w:lvlJc w:val="right"/>
      <w:pPr>
        <w:ind w:left="1068"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5BE6958"/>
    <w:multiLevelType w:val="hybridMultilevel"/>
    <w:tmpl w:val="5D3E7C22"/>
    <w:lvl w:ilvl="0" w:tplc="D73CA404">
      <w:start w:val="1"/>
      <w:numFmt w:val="lowerRoman"/>
      <w:lvlText w:val="%1."/>
      <w:lvlJc w:val="righ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5E55FCB"/>
    <w:multiLevelType w:val="hybridMultilevel"/>
    <w:tmpl w:val="7A1287A8"/>
    <w:lvl w:ilvl="0" w:tplc="2424F912">
      <w:start w:val="1"/>
      <w:numFmt w:val="lowerRoman"/>
      <w:lvlText w:val="%1."/>
      <w:lvlJc w:val="righ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36003E"/>
    <w:multiLevelType w:val="hybridMultilevel"/>
    <w:tmpl w:val="0ECE479E"/>
    <w:lvl w:ilvl="0" w:tplc="D26AD998">
      <w:start w:val="1"/>
      <w:numFmt w:val="decimal"/>
      <w:lvlText w:val="Artículo %1."/>
      <w:lvlJc w:val="left"/>
      <w:pPr>
        <w:ind w:left="3479" w:hanging="360"/>
      </w:pPr>
      <w:rPr>
        <w:rFonts w:hint="default"/>
        <w:b/>
        <w:bCs w:val="0"/>
        <w:i w:val="0"/>
        <w:iCs/>
        <w:sz w:val="24"/>
        <w:szCs w:val="22"/>
      </w:r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66D4E36"/>
    <w:multiLevelType w:val="hybridMultilevel"/>
    <w:tmpl w:val="5240D3BC"/>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3"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3334171F"/>
    <w:multiLevelType w:val="hybridMultilevel"/>
    <w:tmpl w:val="6FDCECA4"/>
    <w:lvl w:ilvl="0" w:tplc="0F188078">
      <w:start w:val="1"/>
      <w:numFmt w:val="lowerRoman"/>
      <w:lvlText w:val="%1."/>
      <w:lvlJc w:val="righ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5C869B1"/>
    <w:multiLevelType w:val="hybridMultilevel"/>
    <w:tmpl w:val="E32E1B24"/>
    <w:lvl w:ilvl="0" w:tplc="240A001B">
      <w:start w:val="1"/>
      <w:numFmt w:val="lowerRoman"/>
      <w:lvlText w:val="%1."/>
      <w:lvlJc w:val="right"/>
      <w:pPr>
        <w:ind w:left="1068" w:hanging="360"/>
      </w:p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9"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1" w15:restartNumberingAfterBreak="0">
    <w:nsid w:val="517D7A25"/>
    <w:multiLevelType w:val="hybridMultilevel"/>
    <w:tmpl w:val="5AF0069A"/>
    <w:lvl w:ilvl="0" w:tplc="22C2C318">
      <w:start w:val="1"/>
      <w:numFmt w:val="lowerLetter"/>
      <w:lvlText w:val="%1."/>
      <w:lvlJc w:val="left"/>
      <w:pPr>
        <w:ind w:left="720" w:hanging="360"/>
      </w:pPr>
      <w:rPr>
        <w:b w:val="0"/>
        <w:bCs/>
      </w:rPr>
    </w:lvl>
    <w:lvl w:ilvl="1" w:tplc="92AA1E04">
      <w:start w:val="1"/>
      <w:numFmt w:val="lowerLetter"/>
      <w:lvlText w:val="%2."/>
      <w:lvlJc w:val="left"/>
      <w:pPr>
        <w:ind w:left="1440" w:hanging="360"/>
      </w:pPr>
      <w:rPr>
        <w:b w:val="0"/>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3"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1721843"/>
    <w:multiLevelType w:val="hybridMultilevel"/>
    <w:tmpl w:val="F66074FA"/>
    <w:lvl w:ilvl="0" w:tplc="0F188078">
      <w:start w:val="1"/>
      <w:numFmt w:val="lowerRoman"/>
      <w:lvlText w:val="%1."/>
      <w:lvlJc w:val="right"/>
      <w:pPr>
        <w:ind w:left="1068"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6D4F475A"/>
    <w:multiLevelType w:val="hybridMultilevel"/>
    <w:tmpl w:val="02526C04"/>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F013865"/>
    <w:multiLevelType w:val="hybridMultilevel"/>
    <w:tmpl w:val="8F6C9B26"/>
    <w:lvl w:ilvl="0" w:tplc="73307E3E">
      <w:numFmt w:val="bullet"/>
      <w:lvlText w:val="–"/>
      <w:lvlJc w:val="left"/>
      <w:pPr>
        <w:ind w:left="1068" w:hanging="360"/>
      </w:pPr>
      <w:rPr>
        <w:rFonts w:ascii="Bookman Old Style" w:eastAsia="Times New Roman" w:hAnsi="Bookman Old Style" w:cs="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60953670">
    <w:abstractNumId w:val="18"/>
  </w:num>
  <w:num w:numId="2" w16cid:durableId="1497382030">
    <w:abstractNumId w:val="8"/>
  </w:num>
  <w:num w:numId="3" w16cid:durableId="1643658739">
    <w:abstractNumId w:val="31"/>
  </w:num>
  <w:num w:numId="4" w16cid:durableId="1416053916">
    <w:abstractNumId w:val="10"/>
  </w:num>
  <w:num w:numId="5" w16cid:durableId="1460681335">
    <w:abstractNumId w:val="23"/>
  </w:num>
  <w:num w:numId="6" w16cid:durableId="432214895">
    <w:abstractNumId w:val="5"/>
  </w:num>
  <w:num w:numId="7" w16cid:durableId="845751384">
    <w:abstractNumId w:val="4"/>
  </w:num>
  <w:num w:numId="8" w16cid:durableId="29301030">
    <w:abstractNumId w:val="26"/>
  </w:num>
  <w:num w:numId="9" w16cid:durableId="2003662021">
    <w:abstractNumId w:val="24"/>
  </w:num>
  <w:num w:numId="10" w16cid:durableId="2014674860">
    <w:abstractNumId w:val="19"/>
  </w:num>
  <w:num w:numId="11" w16cid:durableId="958032325">
    <w:abstractNumId w:val="32"/>
  </w:num>
  <w:num w:numId="12" w16cid:durableId="1838691975">
    <w:abstractNumId w:val="30"/>
  </w:num>
  <w:num w:numId="13" w16cid:durableId="273679532">
    <w:abstractNumId w:val="17"/>
  </w:num>
  <w:num w:numId="14" w16cid:durableId="2070683866">
    <w:abstractNumId w:val="3"/>
  </w:num>
  <w:num w:numId="15" w16cid:durableId="1975476040">
    <w:abstractNumId w:val="20"/>
  </w:num>
  <w:num w:numId="16" w16cid:durableId="83963299">
    <w:abstractNumId w:val="1"/>
  </w:num>
  <w:num w:numId="17" w16cid:durableId="353533871">
    <w:abstractNumId w:val="15"/>
  </w:num>
  <w:num w:numId="18" w16cid:durableId="788664195">
    <w:abstractNumId w:val="0"/>
  </w:num>
  <w:num w:numId="19" w16cid:durableId="1454788596">
    <w:abstractNumId w:val="27"/>
  </w:num>
  <w:num w:numId="20" w16cid:durableId="1999069271">
    <w:abstractNumId w:val="22"/>
  </w:num>
  <w:num w:numId="21" w16cid:durableId="1075667280">
    <w:abstractNumId w:val="11"/>
  </w:num>
  <w:num w:numId="22" w16cid:durableId="40371620">
    <w:abstractNumId w:val="13"/>
  </w:num>
  <w:num w:numId="23" w16cid:durableId="1696686099">
    <w:abstractNumId w:val="9"/>
  </w:num>
  <w:num w:numId="24" w16cid:durableId="776409264">
    <w:abstractNumId w:val="21"/>
  </w:num>
  <w:num w:numId="25" w16cid:durableId="765879730">
    <w:abstractNumId w:val="16"/>
  </w:num>
  <w:num w:numId="26" w16cid:durableId="1356882583">
    <w:abstractNumId w:val="6"/>
  </w:num>
  <w:num w:numId="27" w16cid:durableId="272514751">
    <w:abstractNumId w:val="25"/>
  </w:num>
  <w:num w:numId="28" w16cid:durableId="2080974234">
    <w:abstractNumId w:val="14"/>
  </w:num>
  <w:num w:numId="29" w16cid:durableId="2050719605">
    <w:abstractNumId w:val="2"/>
  </w:num>
  <w:num w:numId="30" w16cid:durableId="573513502">
    <w:abstractNumId w:val="28"/>
  </w:num>
  <w:num w:numId="31" w16cid:durableId="226036350">
    <w:abstractNumId w:val="29"/>
  </w:num>
  <w:num w:numId="32" w16cid:durableId="1854418239">
    <w:abstractNumId w:val="7"/>
  </w:num>
  <w:num w:numId="33" w16cid:durableId="2828116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6AE2"/>
    <w:rsid w:val="000076A1"/>
    <w:rsid w:val="00012259"/>
    <w:rsid w:val="0001312D"/>
    <w:rsid w:val="0001489A"/>
    <w:rsid w:val="00020315"/>
    <w:rsid w:val="00025383"/>
    <w:rsid w:val="0002653F"/>
    <w:rsid w:val="0003465F"/>
    <w:rsid w:val="00035C3A"/>
    <w:rsid w:val="00035DA2"/>
    <w:rsid w:val="00036E81"/>
    <w:rsid w:val="000422B9"/>
    <w:rsid w:val="00045D3D"/>
    <w:rsid w:val="00056DE4"/>
    <w:rsid w:val="00063657"/>
    <w:rsid w:val="00075D93"/>
    <w:rsid w:val="00076680"/>
    <w:rsid w:val="00076A1D"/>
    <w:rsid w:val="0008073E"/>
    <w:rsid w:val="00082CCE"/>
    <w:rsid w:val="00086AE8"/>
    <w:rsid w:val="00091CDB"/>
    <w:rsid w:val="00093A16"/>
    <w:rsid w:val="000A19AC"/>
    <w:rsid w:val="000A7875"/>
    <w:rsid w:val="000B2EC9"/>
    <w:rsid w:val="000B5247"/>
    <w:rsid w:val="000B54D9"/>
    <w:rsid w:val="000B6DE5"/>
    <w:rsid w:val="000C2637"/>
    <w:rsid w:val="000C4520"/>
    <w:rsid w:val="000C64BB"/>
    <w:rsid w:val="000D26F8"/>
    <w:rsid w:val="000E2E6C"/>
    <w:rsid w:val="000E65E9"/>
    <w:rsid w:val="000F6491"/>
    <w:rsid w:val="001035D6"/>
    <w:rsid w:val="001046E7"/>
    <w:rsid w:val="00106654"/>
    <w:rsid w:val="00111EF9"/>
    <w:rsid w:val="001145BD"/>
    <w:rsid w:val="00115E13"/>
    <w:rsid w:val="00122AFF"/>
    <w:rsid w:val="00126716"/>
    <w:rsid w:val="00130B47"/>
    <w:rsid w:val="0013209D"/>
    <w:rsid w:val="0013526C"/>
    <w:rsid w:val="001405C6"/>
    <w:rsid w:val="00141013"/>
    <w:rsid w:val="0014419B"/>
    <w:rsid w:val="00152462"/>
    <w:rsid w:val="00154198"/>
    <w:rsid w:val="00160372"/>
    <w:rsid w:val="00161BCA"/>
    <w:rsid w:val="001649E0"/>
    <w:rsid w:val="001677FF"/>
    <w:rsid w:val="0017594B"/>
    <w:rsid w:val="00180FC0"/>
    <w:rsid w:val="0018144D"/>
    <w:rsid w:val="001912D8"/>
    <w:rsid w:val="00192CBF"/>
    <w:rsid w:val="00192FF1"/>
    <w:rsid w:val="001933D0"/>
    <w:rsid w:val="00193E19"/>
    <w:rsid w:val="00194F6A"/>
    <w:rsid w:val="00195241"/>
    <w:rsid w:val="001979AD"/>
    <w:rsid w:val="001A5F1B"/>
    <w:rsid w:val="001B0A1B"/>
    <w:rsid w:val="001B1A8E"/>
    <w:rsid w:val="001B1C22"/>
    <w:rsid w:val="001B254D"/>
    <w:rsid w:val="001B34C6"/>
    <w:rsid w:val="001B5C00"/>
    <w:rsid w:val="001B749B"/>
    <w:rsid w:val="001C0C70"/>
    <w:rsid w:val="001D33AE"/>
    <w:rsid w:val="001D5C88"/>
    <w:rsid w:val="001D7832"/>
    <w:rsid w:val="001E6935"/>
    <w:rsid w:val="001F5C1C"/>
    <w:rsid w:val="00200D67"/>
    <w:rsid w:val="002053DE"/>
    <w:rsid w:val="00210DC1"/>
    <w:rsid w:val="00211D34"/>
    <w:rsid w:val="00214839"/>
    <w:rsid w:val="00214F04"/>
    <w:rsid w:val="002235AA"/>
    <w:rsid w:val="002237D4"/>
    <w:rsid w:val="002348DC"/>
    <w:rsid w:val="002352B9"/>
    <w:rsid w:val="00253267"/>
    <w:rsid w:val="00257AE2"/>
    <w:rsid w:val="00266CD6"/>
    <w:rsid w:val="002673AC"/>
    <w:rsid w:val="00273082"/>
    <w:rsid w:val="00273453"/>
    <w:rsid w:val="00275DAB"/>
    <w:rsid w:val="00276C6D"/>
    <w:rsid w:val="00280B18"/>
    <w:rsid w:val="002903C0"/>
    <w:rsid w:val="00294810"/>
    <w:rsid w:val="002A782A"/>
    <w:rsid w:val="002B11E2"/>
    <w:rsid w:val="002B1BE9"/>
    <w:rsid w:val="002B24B8"/>
    <w:rsid w:val="002B4571"/>
    <w:rsid w:val="002B4E86"/>
    <w:rsid w:val="002C33B9"/>
    <w:rsid w:val="002C5FB8"/>
    <w:rsid w:val="002D0581"/>
    <w:rsid w:val="002D3AE9"/>
    <w:rsid w:val="002D4510"/>
    <w:rsid w:val="002E732D"/>
    <w:rsid w:val="002F0734"/>
    <w:rsid w:val="002F175F"/>
    <w:rsid w:val="002F36DD"/>
    <w:rsid w:val="002F46E7"/>
    <w:rsid w:val="003101DA"/>
    <w:rsid w:val="003111C3"/>
    <w:rsid w:val="00313FA8"/>
    <w:rsid w:val="00314757"/>
    <w:rsid w:val="003163BC"/>
    <w:rsid w:val="003173FE"/>
    <w:rsid w:val="003211CE"/>
    <w:rsid w:val="00330870"/>
    <w:rsid w:val="00330976"/>
    <w:rsid w:val="003435B9"/>
    <w:rsid w:val="00350C20"/>
    <w:rsid w:val="0035403A"/>
    <w:rsid w:val="00360EDB"/>
    <w:rsid w:val="00362787"/>
    <w:rsid w:val="0036394B"/>
    <w:rsid w:val="00366DB6"/>
    <w:rsid w:val="003671B8"/>
    <w:rsid w:val="003709B5"/>
    <w:rsid w:val="0037104E"/>
    <w:rsid w:val="0037222E"/>
    <w:rsid w:val="00373BC1"/>
    <w:rsid w:val="003759C2"/>
    <w:rsid w:val="00376729"/>
    <w:rsid w:val="00382D50"/>
    <w:rsid w:val="003865EA"/>
    <w:rsid w:val="00394FB2"/>
    <w:rsid w:val="00396A24"/>
    <w:rsid w:val="003971E0"/>
    <w:rsid w:val="00397365"/>
    <w:rsid w:val="00397E15"/>
    <w:rsid w:val="003A31F6"/>
    <w:rsid w:val="003A4779"/>
    <w:rsid w:val="003A4EF5"/>
    <w:rsid w:val="003B3285"/>
    <w:rsid w:val="003B3E78"/>
    <w:rsid w:val="003B77E4"/>
    <w:rsid w:val="003B7AE5"/>
    <w:rsid w:val="003C3447"/>
    <w:rsid w:val="003D076C"/>
    <w:rsid w:val="003D1054"/>
    <w:rsid w:val="003D1442"/>
    <w:rsid w:val="003E000F"/>
    <w:rsid w:val="003E1C6B"/>
    <w:rsid w:val="003E78B5"/>
    <w:rsid w:val="003F5632"/>
    <w:rsid w:val="00400814"/>
    <w:rsid w:val="00415BAB"/>
    <w:rsid w:val="00415ED2"/>
    <w:rsid w:val="00415FA8"/>
    <w:rsid w:val="0042068C"/>
    <w:rsid w:val="00425F30"/>
    <w:rsid w:val="00430879"/>
    <w:rsid w:val="00431C7B"/>
    <w:rsid w:val="0044318E"/>
    <w:rsid w:val="00443429"/>
    <w:rsid w:val="00443B35"/>
    <w:rsid w:val="00451501"/>
    <w:rsid w:val="00452571"/>
    <w:rsid w:val="0045488D"/>
    <w:rsid w:val="00462F26"/>
    <w:rsid w:val="00467582"/>
    <w:rsid w:val="0047122B"/>
    <w:rsid w:val="00471F32"/>
    <w:rsid w:val="00473B7A"/>
    <w:rsid w:val="0047553B"/>
    <w:rsid w:val="004768FE"/>
    <w:rsid w:val="0048179A"/>
    <w:rsid w:val="00486C03"/>
    <w:rsid w:val="0049319B"/>
    <w:rsid w:val="00493F0A"/>
    <w:rsid w:val="00493FB2"/>
    <w:rsid w:val="004960E9"/>
    <w:rsid w:val="004A2585"/>
    <w:rsid w:val="004A2E88"/>
    <w:rsid w:val="004A44FE"/>
    <w:rsid w:val="004A5305"/>
    <w:rsid w:val="004A5C44"/>
    <w:rsid w:val="004C0214"/>
    <w:rsid w:val="004C0EE4"/>
    <w:rsid w:val="004D4768"/>
    <w:rsid w:val="004D7634"/>
    <w:rsid w:val="004E4D10"/>
    <w:rsid w:val="004E51EB"/>
    <w:rsid w:val="004E611A"/>
    <w:rsid w:val="004F3967"/>
    <w:rsid w:val="004F6460"/>
    <w:rsid w:val="005040E7"/>
    <w:rsid w:val="005059B3"/>
    <w:rsid w:val="00512149"/>
    <w:rsid w:val="005124AB"/>
    <w:rsid w:val="005149C9"/>
    <w:rsid w:val="00520BCF"/>
    <w:rsid w:val="0052156B"/>
    <w:rsid w:val="005300D3"/>
    <w:rsid w:val="00537826"/>
    <w:rsid w:val="00537834"/>
    <w:rsid w:val="00542A10"/>
    <w:rsid w:val="00544F82"/>
    <w:rsid w:val="00546BA0"/>
    <w:rsid w:val="005509D2"/>
    <w:rsid w:val="00550FF6"/>
    <w:rsid w:val="00553540"/>
    <w:rsid w:val="00561593"/>
    <w:rsid w:val="00561EB2"/>
    <w:rsid w:val="00565D6C"/>
    <w:rsid w:val="00573A59"/>
    <w:rsid w:val="00575686"/>
    <w:rsid w:val="00576991"/>
    <w:rsid w:val="00580873"/>
    <w:rsid w:val="005817AF"/>
    <w:rsid w:val="005868DF"/>
    <w:rsid w:val="005903FA"/>
    <w:rsid w:val="00590D36"/>
    <w:rsid w:val="00593C4F"/>
    <w:rsid w:val="005946A8"/>
    <w:rsid w:val="005973AD"/>
    <w:rsid w:val="00597829"/>
    <w:rsid w:val="005A0A01"/>
    <w:rsid w:val="005A4407"/>
    <w:rsid w:val="005A4F7E"/>
    <w:rsid w:val="005A59EF"/>
    <w:rsid w:val="005B1C7E"/>
    <w:rsid w:val="005C6976"/>
    <w:rsid w:val="005D0FF4"/>
    <w:rsid w:val="005D4A43"/>
    <w:rsid w:val="005E132F"/>
    <w:rsid w:val="005E656D"/>
    <w:rsid w:val="005F3B61"/>
    <w:rsid w:val="005F6F41"/>
    <w:rsid w:val="005F7101"/>
    <w:rsid w:val="005F7C23"/>
    <w:rsid w:val="00605876"/>
    <w:rsid w:val="00610503"/>
    <w:rsid w:val="00612913"/>
    <w:rsid w:val="0061509C"/>
    <w:rsid w:val="006169AD"/>
    <w:rsid w:val="006175D2"/>
    <w:rsid w:val="00622144"/>
    <w:rsid w:val="00625DC6"/>
    <w:rsid w:val="006338C7"/>
    <w:rsid w:val="006403F5"/>
    <w:rsid w:val="00640CF5"/>
    <w:rsid w:val="0064391D"/>
    <w:rsid w:val="00643F98"/>
    <w:rsid w:val="00650F2D"/>
    <w:rsid w:val="00651821"/>
    <w:rsid w:val="0065279F"/>
    <w:rsid w:val="00654384"/>
    <w:rsid w:val="00661A9D"/>
    <w:rsid w:val="006675CD"/>
    <w:rsid w:val="006702DB"/>
    <w:rsid w:val="00673923"/>
    <w:rsid w:val="00675EDB"/>
    <w:rsid w:val="00684D9B"/>
    <w:rsid w:val="0068510A"/>
    <w:rsid w:val="00687238"/>
    <w:rsid w:val="006875E3"/>
    <w:rsid w:val="00692D2C"/>
    <w:rsid w:val="00695A06"/>
    <w:rsid w:val="00697556"/>
    <w:rsid w:val="006A1EF4"/>
    <w:rsid w:val="006A5EE5"/>
    <w:rsid w:val="006A788B"/>
    <w:rsid w:val="006B4647"/>
    <w:rsid w:val="006B4C2B"/>
    <w:rsid w:val="006B6194"/>
    <w:rsid w:val="006B6D47"/>
    <w:rsid w:val="006B7EDA"/>
    <w:rsid w:val="006C2EDE"/>
    <w:rsid w:val="006C4708"/>
    <w:rsid w:val="006C4C01"/>
    <w:rsid w:val="006C4CC7"/>
    <w:rsid w:val="006C5AFE"/>
    <w:rsid w:val="006D00B6"/>
    <w:rsid w:val="006D1A8E"/>
    <w:rsid w:val="006D4224"/>
    <w:rsid w:val="006D7F4C"/>
    <w:rsid w:val="006E7F41"/>
    <w:rsid w:val="006F1DEC"/>
    <w:rsid w:val="006F2EC8"/>
    <w:rsid w:val="006F36D5"/>
    <w:rsid w:val="006F40E3"/>
    <w:rsid w:val="006F6D95"/>
    <w:rsid w:val="006F7385"/>
    <w:rsid w:val="00706731"/>
    <w:rsid w:val="00706C8A"/>
    <w:rsid w:val="00706F13"/>
    <w:rsid w:val="007072E8"/>
    <w:rsid w:val="0071073B"/>
    <w:rsid w:val="00712E39"/>
    <w:rsid w:val="0071618D"/>
    <w:rsid w:val="007218C6"/>
    <w:rsid w:val="0072582B"/>
    <w:rsid w:val="00725FA4"/>
    <w:rsid w:val="007302D2"/>
    <w:rsid w:val="0073057B"/>
    <w:rsid w:val="007369B9"/>
    <w:rsid w:val="00737C11"/>
    <w:rsid w:val="00740446"/>
    <w:rsid w:val="007438A9"/>
    <w:rsid w:val="00744658"/>
    <w:rsid w:val="0074491E"/>
    <w:rsid w:val="00750618"/>
    <w:rsid w:val="0076247A"/>
    <w:rsid w:val="00775964"/>
    <w:rsid w:val="00775B6E"/>
    <w:rsid w:val="007765FE"/>
    <w:rsid w:val="00776C3A"/>
    <w:rsid w:val="007770CE"/>
    <w:rsid w:val="00781AF0"/>
    <w:rsid w:val="007828C2"/>
    <w:rsid w:val="007857F7"/>
    <w:rsid w:val="00791196"/>
    <w:rsid w:val="00794E2E"/>
    <w:rsid w:val="00795BFB"/>
    <w:rsid w:val="007A6181"/>
    <w:rsid w:val="007B071C"/>
    <w:rsid w:val="007B2760"/>
    <w:rsid w:val="007B2796"/>
    <w:rsid w:val="007B2DEF"/>
    <w:rsid w:val="007B5A60"/>
    <w:rsid w:val="007D25DB"/>
    <w:rsid w:val="007D6DBD"/>
    <w:rsid w:val="007E142D"/>
    <w:rsid w:val="007E19E5"/>
    <w:rsid w:val="007E1F69"/>
    <w:rsid w:val="007E22A0"/>
    <w:rsid w:val="007E282D"/>
    <w:rsid w:val="007F0897"/>
    <w:rsid w:val="007F7757"/>
    <w:rsid w:val="0080152C"/>
    <w:rsid w:val="00806C01"/>
    <w:rsid w:val="00811975"/>
    <w:rsid w:val="00811D5F"/>
    <w:rsid w:val="00812F61"/>
    <w:rsid w:val="008148CC"/>
    <w:rsid w:val="008211A4"/>
    <w:rsid w:val="00825158"/>
    <w:rsid w:val="0083208A"/>
    <w:rsid w:val="00833C52"/>
    <w:rsid w:val="008346EF"/>
    <w:rsid w:val="00842F56"/>
    <w:rsid w:val="00842F97"/>
    <w:rsid w:val="0084693A"/>
    <w:rsid w:val="00847143"/>
    <w:rsid w:val="00860A8C"/>
    <w:rsid w:val="0087026E"/>
    <w:rsid w:val="008707A8"/>
    <w:rsid w:val="00871FE8"/>
    <w:rsid w:val="00873150"/>
    <w:rsid w:val="008740BC"/>
    <w:rsid w:val="008743FD"/>
    <w:rsid w:val="0087657D"/>
    <w:rsid w:val="008807D5"/>
    <w:rsid w:val="00880832"/>
    <w:rsid w:val="00881E24"/>
    <w:rsid w:val="00886608"/>
    <w:rsid w:val="00886EE1"/>
    <w:rsid w:val="0088727D"/>
    <w:rsid w:val="00893021"/>
    <w:rsid w:val="008960D9"/>
    <w:rsid w:val="008966D1"/>
    <w:rsid w:val="00897C75"/>
    <w:rsid w:val="008A4BBC"/>
    <w:rsid w:val="008A7F4A"/>
    <w:rsid w:val="008B264E"/>
    <w:rsid w:val="008B7478"/>
    <w:rsid w:val="008C0B84"/>
    <w:rsid w:val="008C1130"/>
    <w:rsid w:val="008C6931"/>
    <w:rsid w:val="008D18E6"/>
    <w:rsid w:val="008D4435"/>
    <w:rsid w:val="008D7A9B"/>
    <w:rsid w:val="008E0060"/>
    <w:rsid w:val="008E0B04"/>
    <w:rsid w:val="008E1A0F"/>
    <w:rsid w:val="008E7091"/>
    <w:rsid w:val="008E734D"/>
    <w:rsid w:val="008E76AC"/>
    <w:rsid w:val="008F1A87"/>
    <w:rsid w:val="008F21F6"/>
    <w:rsid w:val="008F3331"/>
    <w:rsid w:val="008F6EF7"/>
    <w:rsid w:val="00902F23"/>
    <w:rsid w:val="00903099"/>
    <w:rsid w:val="00903ACE"/>
    <w:rsid w:val="00912970"/>
    <w:rsid w:val="00916621"/>
    <w:rsid w:val="009177E5"/>
    <w:rsid w:val="009238A9"/>
    <w:rsid w:val="00923FC3"/>
    <w:rsid w:val="00926A71"/>
    <w:rsid w:val="009331A7"/>
    <w:rsid w:val="00936DAA"/>
    <w:rsid w:val="00937DF2"/>
    <w:rsid w:val="009418F8"/>
    <w:rsid w:val="00941E95"/>
    <w:rsid w:val="00943459"/>
    <w:rsid w:val="009448D2"/>
    <w:rsid w:val="00945DB2"/>
    <w:rsid w:val="00951F79"/>
    <w:rsid w:val="00961949"/>
    <w:rsid w:val="009624B0"/>
    <w:rsid w:val="00966928"/>
    <w:rsid w:val="00967493"/>
    <w:rsid w:val="00971357"/>
    <w:rsid w:val="00972EFA"/>
    <w:rsid w:val="009733BB"/>
    <w:rsid w:val="00974AB5"/>
    <w:rsid w:val="00984A10"/>
    <w:rsid w:val="009852EA"/>
    <w:rsid w:val="00985CBC"/>
    <w:rsid w:val="0098706D"/>
    <w:rsid w:val="009916B1"/>
    <w:rsid w:val="009930E4"/>
    <w:rsid w:val="009935FB"/>
    <w:rsid w:val="00993F93"/>
    <w:rsid w:val="00996E75"/>
    <w:rsid w:val="009972BB"/>
    <w:rsid w:val="009A221F"/>
    <w:rsid w:val="009A385F"/>
    <w:rsid w:val="009B3B69"/>
    <w:rsid w:val="009B57CA"/>
    <w:rsid w:val="009B63E1"/>
    <w:rsid w:val="009C2861"/>
    <w:rsid w:val="009C5869"/>
    <w:rsid w:val="009D02FB"/>
    <w:rsid w:val="009E697C"/>
    <w:rsid w:val="009E76FA"/>
    <w:rsid w:val="009F4A54"/>
    <w:rsid w:val="009F4BEC"/>
    <w:rsid w:val="009F5874"/>
    <w:rsid w:val="00A02276"/>
    <w:rsid w:val="00A06511"/>
    <w:rsid w:val="00A14A06"/>
    <w:rsid w:val="00A22B5F"/>
    <w:rsid w:val="00A25FD7"/>
    <w:rsid w:val="00A31C54"/>
    <w:rsid w:val="00A435B9"/>
    <w:rsid w:val="00A43AFF"/>
    <w:rsid w:val="00A468D4"/>
    <w:rsid w:val="00A51365"/>
    <w:rsid w:val="00A57C6A"/>
    <w:rsid w:val="00A6338C"/>
    <w:rsid w:val="00A66416"/>
    <w:rsid w:val="00A66BA4"/>
    <w:rsid w:val="00A7793A"/>
    <w:rsid w:val="00A77EAB"/>
    <w:rsid w:val="00A91818"/>
    <w:rsid w:val="00A94980"/>
    <w:rsid w:val="00A94BFA"/>
    <w:rsid w:val="00AA4CC7"/>
    <w:rsid w:val="00AA5DD6"/>
    <w:rsid w:val="00AA5E8E"/>
    <w:rsid w:val="00AA5FB0"/>
    <w:rsid w:val="00AB2BAD"/>
    <w:rsid w:val="00AB6CA7"/>
    <w:rsid w:val="00AB7545"/>
    <w:rsid w:val="00AC1FC3"/>
    <w:rsid w:val="00AC4364"/>
    <w:rsid w:val="00AD01E4"/>
    <w:rsid w:val="00AD0858"/>
    <w:rsid w:val="00AD1537"/>
    <w:rsid w:val="00AD16DB"/>
    <w:rsid w:val="00AD27AD"/>
    <w:rsid w:val="00AD353B"/>
    <w:rsid w:val="00AD6B6C"/>
    <w:rsid w:val="00AE02E3"/>
    <w:rsid w:val="00AE2213"/>
    <w:rsid w:val="00AE66FF"/>
    <w:rsid w:val="00AE7340"/>
    <w:rsid w:val="00AF1BBD"/>
    <w:rsid w:val="00AF48E5"/>
    <w:rsid w:val="00B02281"/>
    <w:rsid w:val="00B024D7"/>
    <w:rsid w:val="00B053D0"/>
    <w:rsid w:val="00B10207"/>
    <w:rsid w:val="00B141E7"/>
    <w:rsid w:val="00B17BA0"/>
    <w:rsid w:val="00B20DA6"/>
    <w:rsid w:val="00B226A7"/>
    <w:rsid w:val="00B314A2"/>
    <w:rsid w:val="00B31F61"/>
    <w:rsid w:val="00B3455C"/>
    <w:rsid w:val="00B351B4"/>
    <w:rsid w:val="00B40478"/>
    <w:rsid w:val="00B444C2"/>
    <w:rsid w:val="00B46185"/>
    <w:rsid w:val="00B46BCA"/>
    <w:rsid w:val="00B478AA"/>
    <w:rsid w:val="00B509A2"/>
    <w:rsid w:val="00B56D83"/>
    <w:rsid w:val="00B578A8"/>
    <w:rsid w:val="00B6119C"/>
    <w:rsid w:val="00B70507"/>
    <w:rsid w:val="00B713E2"/>
    <w:rsid w:val="00B74C72"/>
    <w:rsid w:val="00B85B43"/>
    <w:rsid w:val="00B87806"/>
    <w:rsid w:val="00B87EC9"/>
    <w:rsid w:val="00B956E8"/>
    <w:rsid w:val="00BA0D98"/>
    <w:rsid w:val="00BA30D8"/>
    <w:rsid w:val="00BB27FF"/>
    <w:rsid w:val="00BC153E"/>
    <w:rsid w:val="00BC1CAB"/>
    <w:rsid w:val="00BC38FD"/>
    <w:rsid w:val="00BC4598"/>
    <w:rsid w:val="00BC71D1"/>
    <w:rsid w:val="00BD640E"/>
    <w:rsid w:val="00BE63D3"/>
    <w:rsid w:val="00BF05A0"/>
    <w:rsid w:val="00BF58C1"/>
    <w:rsid w:val="00BF654F"/>
    <w:rsid w:val="00BF7731"/>
    <w:rsid w:val="00C01790"/>
    <w:rsid w:val="00C034CB"/>
    <w:rsid w:val="00C04437"/>
    <w:rsid w:val="00C051A8"/>
    <w:rsid w:val="00C054BC"/>
    <w:rsid w:val="00C058DA"/>
    <w:rsid w:val="00C1602E"/>
    <w:rsid w:val="00C16BDB"/>
    <w:rsid w:val="00C17897"/>
    <w:rsid w:val="00C17C27"/>
    <w:rsid w:val="00C17FE3"/>
    <w:rsid w:val="00C251C4"/>
    <w:rsid w:val="00C26A30"/>
    <w:rsid w:val="00C310D6"/>
    <w:rsid w:val="00C313ED"/>
    <w:rsid w:val="00C409D5"/>
    <w:rsid w:val="00C42D8E"/>
    <w:rsid w:val="00C435C3"/>
    <w:rsid w:val="00C44E5F"/>
    <w:rsid w:val="00C45887"/>
    <w:rsid w:val="00C45C66"/>
    <w:rsid w:val="00C51B7C"/>
    <w:rsid w:val="00C60903"/>
    <w:rsid w:val="00C6234B"/>
    <w:rsid w:val="00C63EAE"/>
    <w:rsid w:val="00C669CA"/>
    <w:rsid w:val="00C73260"/>
    <w:rsid w:val="00C7629F"/>
    <w:rsid w:val="00C81485"/>
    <w:rsid w:val="00C85BF0"/>
    <w:rsid w:val="00C85D3C"/>
    <w:rsid w:val="00C8661B"/>
    <w:rsid w:val="00C926FC"/>
    <w:rsid w:val="00C9435F"/>
    <w:rsid w:val="00C94C89"/>
    <w:rsid w:val="00CA03C8"/>
    <w:rsid w:val="00CA139A"/>
    <w:rsid w:val="00CA20B6"/>
    <w:rsid w:val="00CA2899"/>
    <w:rsid w:val="00CA3A3D"/>
    <w:rsid w:val="00CA3AA6"/>
    <w:rsid w:val="00CA61E9"/>
    <w:rsid w:val="00CA77FB"/>
    <w:rsid w:val="00CB058F"/>
    <w:rsid w:val="00CB0C1F"/>
    <w:rsid w:val="00CB379B"/>
    <w:rsid w:val="00CB594F"/>
    <w:rsid w:val="00CB5DD0"/>
    <w:rsid w:val="00CB677D"/>
    <w:rsid w:val="00CC24CB"/>
    <w:rsid w:val="00CC40B3"/>
    <w:rsid w:val="00CC51D4"/>
    <w:rsid w:val="00CC56A0"/>
    <w:rsid w:val="00CC65DA"/>
    <w:rsid w:val="00CD3423"/>
    <w:rsid w:val="00CD600C"/>
    <w:rsid w:val="00CE3647"/>
    <w:rsid w:val="00CE4A6A"/>
    <w:rsid w:val="00CF21B9"/>
    <w:rsid w:val="00CF57D8"/>
    <w:rsid w:val="00CF6BF9"/>
    <w:rsid w:val="00CF7C94"/>
    <w:rsid w:val="00CF7E1F"/>
    <w:rsid w:val="00D011DB"/>
    <w:rsid w:val="00D0284F"/>
    <w:rsid w:val="00D03800"/>
    <w:rsid w:val="00D065D3"/>
    <w:rsid w:val="00D13176"/>
    <w:rsid w:val="00D14C94"/>
    <w:rsid w:val="00D2162E"/>
    <w:rsid w:val="00D22F29"/>
    <w:rsid w:val="00D342A6"/>
    <w:rsid w:val="00D353C0"/>
    <w:rsid w:val="00D367DA"/>
    <w:rsid w:val="00D41702"/>
    <w:rsid w:val="00D42217"/>
    <w:rsid w:val="00D44E51"/>
    <w:rsid w:val="00D45CA6"/>
    <w:rsid w:val="00D464BF"/>
    <w:rsid w:val="00D532FA"/>
    <w:rsid w:val="00D53E26"/>
    <w:rsid w:val="00D672AB"/>
    <w:rsid w:val="00D71FB4"/>
    <w:rsid w:val="00D762A3"/>
    <w:rsid w:val="00D83F43"/>
    <w:rsid w:val="00D853C2"/>
    <w:rsid w:val="00D85FFB"/>
    <w:rsid w:val="00D9198E"/>
    <w:rsid w:val="00D97E41"/>
    <w:rsid w:val="00DA006C"/>
    <w:rsid w:val="00DA3A3C"/>
    <w:rsid w:val="00DB048D"/>
    <w:rsid w:val="00DB182C"/>
    <w:rsid w:val="00DB274E"/>
    <w:rsid w:val="00DC69BE"/>
    <w:rsid w:val="00DD1B7F"/>
    <w:rsid w:val="00DD2325"/>
    <w:rsid w:val="00DD4F0E"/>
    <w:rsid w:val="00DD5FE3"/>
    <w:rsid w:val="00DD6D3C"/>
    <w:rsid w:val="00DD6FDE"/>
    <w:rsid w:val="00DE0D44"/>
    <w:rsid w:val="00DF0093"/>
    <w:rsid w:val="00DF0BF0"/>
    <w:rsid w:val="00DF16F5"/>
    <w:rsid w:val="00DF2B46"/>
    <w:rsid w:val="00DF3CA2"/>
    <w:rsid w:val="00DF67EB"/>
    <w:rsid w:val="00DF753F"/>
    <w:rsid w:val="00E01463"/>
    <w:rsid w:val="00E05E0A"/>
    <w:rsid w:val="00E060BE"/>
    <w:rsid w:val="00E12A2A"/>
    <w:rsid w:val="00E132F5"/>
    <w:rsid w:val="00E154B2"/>
    <w:rsid w:val="00E22912"/>
    <w:rsid w:val="00E263AF"/>
    <w:rsid w:val="00E3394A"/>
    <w:rsid w:val="00E36114"/>
    <w:rsid w:val="00E37F8C"/>
    <w:rsid w:val="00E46E6B"/>
    <w:rsid w:val="00E52195"/>
    <w:rsid w:val="00E534CF"/>
    <w:rsid w:val="00E557D8"/>
    <w:rsid w:val="00E63920"/>
    <w:rsid w:val="00E64118"/>
    <w:rsid w:val="00E64893"/>
    <w:rsid w:val="00E71793"/>
    <w:rsid w:val="00E81CB4"/>
    <w:rsid w:val="00E83538"/>
    <w:rsid w:val="00E8539C"/>
    <w:rsid w:val="00E8585B"/>
    <w:rsid w:val="00E87F41"/>
    <w:rsid w:val="00E91A4A"/>
    <w:rsid w:val="00E9792D"/>
    <w:rsid w:val="00EA3F15"/>
    <w:rsid w:val="00EA6BD1"/>
    <w:rsid w:val="00EA7847"/>
    <w:rsid w:val="00EB4C2F"/>
    <w:rsid w:val="00EB65AE"/>
    <w:rsid w:val="00EC084F"/>
    <w:rsid w:val="00ED365F"/>
    <w:rsid w:val="00ED654F"/>
    <w:rsid w:val="00EE2E6E"/>
    <w:rsid w:val="00EE4A80"/>
    <w:rsid w:val="00EE5605"/>
    <w:rsid w:val="00EE5CA7"/>
    <w:rsid w:val="00EE6B46"/>
    <w:rsid w:val="00F023FA"/>
    <w:rsid w:val="00F05F32"/>
    <w:rsid w:val="00F0759E"/>
    <w:rsid w:val="00F130AD"/>
    <w:rsid w:val="00F16A43"/>
    <w:rsid w:val="00F20532"/>
    <w:rsid w:val="00F24BED"/>
    <w:rsid w:val="00F2782B"/>
    <w:rsid w:val="00F40612"/>
    <w:rsid w:val="00F422AB"/>
    <w:rsid w:val="00F4461C"/>
    <w:rsid w:val="00F46780"/>
    <w:rsid w:val="00F5086F"/>
    <w:rsid w:val="00F530FC"/>
    <w:rsid w:val="00F543E4"/>
    <w:rsid w:val="00F54D64"/>
    <w:rsid w:val="00F55DB1"/>
    <w:rsid w:val="00F576A8"/>
    <w:rsid w:val="00F62B0F"/>
    <w:rsid w:val="00F635B8"/>
    <w:rsid w:val="00F77D2D"/>
    <w:rsid w:val="00F81CF4"/>
    <w:rsid w:val="00F821A3"/>
    <w:rsid w:val="00F84B43"/>
    <w:rsid w:val="00F90E23"/>
    <w:rsid w:val="00F9314A"/>
    <w:rsid w:val="00F940B2"/>
    <w:rsid w:val="00F96BE2"/>
    <w:rsid w:val="00FA16E7"/>
    <w:rsid w:val="00FB073F"/>
    <w:rsid w:val="00FC48B4"/>
    <w:rsid w:val="00FC58EF"/>
    <w:rsid w:val="00FC6876"/>
    <w:rsid w:val="00FD1E2B"/>
    <w:rsid w:val="00FD33DF"/>
    <w:rsid w:val="00FD4450"/>
    <w:rsid w:val="00FE0CDD"/>
    <w:rsid w:val="00FE39D7"/>
    <w:rsid w:val="00FE6D13"/>
    <w:rsid w:val="00FF3701"/>
    <w:rsid w:val="08078810"/>
    <w:rsid w:val="0FF97198"/>
    <w:rsid w:val="1668B31C"/>
    <w:rsid w:val="21B35349"/>
    <w:rsid w:val="2686C46C"/>
    <w:rsid w:val="2759717C"/>
    <w:rsid w:val="2DC8B300"/>
    <w:rsid w:val="326049AA"/>
    <w:rsid w:val="3EB80C29"/>
    <w:rsid w:val="3F3C3E4B"/>
    <w:rsid w:val="6EE8FB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9890C"/>
  <w15:chartTrackingRefBased/>
  <w15:docId w15:val="{9A204BFE-BF51-470B-9C8D-5FFD1F0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F5C1C"/>
    <w:pPr>
      <w:ind w:left="0"/>
    </w:pPr>
    <w:rPr>
      <w:rFonts w:ascii="Bookman Old Style" w:hAnsi="Bookman Old Style"/>
      <w:b/>
      <w:szCs w:val="20"/>
      <w:lang w:val="es-CO"/>
    </w:rPr>
  </w:style>
  <w:style w:type="character" w:customStyle="1" w:styleId="PrrafodelistaCar">
    <w:name w:val="Párrafo de lista Car"/>
    <w:link w:val="Prrafodelista"/>
    <w:uiPriority w:val="34"/>
    <w:rsid w:val="001F5C1C"/>
    <w:rPr>
      <w:rFonts w:ascii="Bookman Old Style" w:hAnsi="Bookman Old Style"/>
      <w:b/>
      <w:sz w:val="24"/>
      <w:lang w:eastAsia="es-ES"/>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Revisin">
    <w:name w:val="Revision"/>
    <w:hidden/>
    <w:uiPriority w:val="99"/>
    <w:semiHidden/>
    <w:rsid w:val="00A22B5F"/>
    <w:rPr>
      <w:sz w:val="24"/>
      <w:szCs w:val="24"/>
      <w:lang w:val="es-ES" w:eastAsia="es-ES"/>
    </w:rPr>
  </w:style>
  <w:style w:type="character" w:styleId="Hipervnculo">
    <w:name w:val="Hyperlink"/>
    <w:basedOn w:val="Fuentedeprrafopredeter"/>
    <w:uiPriority w:val="99"/>
    <w:unhideWhenUsed/>
    <w:rPr>
      <w:color w:val="0563C1" w:themeColor="hyperlink"/>
      <w:u w:val="single"/>
    </w:rPr>
  </w:style>
  <w:style w:type="paragraph" w:styleId="NormalWeb">
    <w:name w:val="Normal (Web)"/>
    <w:basedOn w:val="Normal"/>
    <w:uiPriority w:val="99"/>
    <w:semiHidden/>
    <w:unhideWhenUsed/>
    <w:rsid w:val="008E734D"/>
    <w:pPr>
      <w:spacing w:before="100" w:beforeAutospacing="1" w:after="100" w:afterAutospacing="1"/>
      <w:ind w:left="0"/>
    </w:pPr>
    <w:rPr>
      <w:lang w:val="es-CO" w:eastAsia="es-CO"/>
    </w:rPr>
  </w:style>
  <w:style w:type="character" w:customStyle="1" w:styleId="glossary-item-container">
    <w:name w:val="glossary-item-container"/>
    <w:basedOn w:val="Fuentedeprrafopredeter"/>
    <w:rsid w:val="00C85D3C"/>
  </w:style>
  <w:style w:type="character" w:styleId="Refdecomentario">
    <w:name w:val="annotation reference"/>
    <w:basedOn w:val="Fuentedeprrafopredeter"/>
    <w:uiPriority w:val="99"/>
    <w:semiHidden/>
    <w:unhideWhenUsed/>
    <w:rsid w:val="00984A10"/>
    <w:rPr>
      <w:sz w:val="16"/>
      <w:szCs w:val="16"/>
    </w:rPr>
  </w:style>
  <w:style w:type="paragraph" w:styleId="Textocomentario">
    <w:name w:val="annotation text"/>
    <w:basedOn w:val="Normal"/>
    <w:link w:val="TextocomentarioCar"/>
    <w:uiPriority w:val="99"/>
    <w:unhideWhenUsed/>
    <w:rsid w:val="00984A10"/>
    <w:rPr>
      <w:sz w:val="20"/>
      <w:szCs w:val="20"/>
    </w:rPr>
  </w:style>
  <w:style w:type="character" w:customStyle="1" w:styleId="TextocomentarioCar">
    <w:name w:val="Texto comentario Car"/>
    <w:basedOn w:val="Fuentedeprrafopredeter"/>
    <w:link w:val="Textocomentario"/>
    <w:uiPriority w:val="99"/>
    <w:rsid w:val="00984A10"/>
    <w:rPr>
      <w:lang w:val="es-ES" w:eastAsia="es-ES"/>
    </w:rPr>
  </w:style>
  <w:style w:type="paragraph" w:styleId="Asuntodelcomentario">
    <w:name w:val="annotation subject"/>
    <w:basedOn w:val="Textocomentario"/>
    <w:next w:val="Textocomentario"/>
    <w:link w:val="AsuntodelcomentarioCar"/>
    <w:uiPriority w:val="99"/>
    <w:semiHidden/>
    <w:unhideWhenUsed/>
    <w:rsid w:val="00984A10"/>
    <w:rPr>
      <w:b/>
      <w:bCs/>
    </w:rPr>
  </w:style>
  <w:style w:type="character" w:customStyle="1" w:styleId="AsuntodelcomentarioCar">
    <w:name w:val="Asunto del comentario Car"/>
    <w:basedOn w:val="TextocomentarioCar"/>
    <w:link w:val="Asuntodelcomentario"/>
    <w:uiPriority w:val="99"/>
    <w:semiHidden/>
    <w:rsid w:val="00984A10"/>
    <w:rPr>
      <w:b/>
      <w:bCs/>
      <w:lang w:val="es-ES" w:eastAsia="es-ES"/>
    </w:rPr>
  </w:style>
  <w:style w:type="character" w:styleId="Mencionar">
    <w:name w:val="Mention"/>
    <w:basedOn w:val="Fuentedeprrafopredeter"/>
    <w:uiPriority w:val="99"/>
    <w:unhideWhenUsed/>
    <w:rsid w:val="00984A10"/>
    <w:rPr>
      <w:color w:val="2B579A"/>
      <w:shd w:val="clear" w:color="auto" w:fill="E1DFDD"/>
    </w:rPr>
  </w:style>
  <w:style w:type="character" w:customStyle="1" w:styleId="ui-provider">
    <w:name w:val="ui-provider"/>
    <w:basedOn w:val="Fuentedeprrafopredeter"/>
    <w:rsid w:val="00BD6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8619">
      <w:bodyDiv w:val="1"/>
      <w:marLeft w:val="0"/>
      <w:marRight w:val="0"/>
      <w:marTop w:val="0"/>
      <w:marBottom w:val="0"/>
      <w:divBdr>
        <w:top w:val="none" w:sz="0" w:space="0" w:color="auto"/>
        <w:left w:val="none" w:sz="0" w:space="0" w:color="auto"/>
        <w:bottom w:val="none" w:sz="0" w:space="0" w:color="auto"/>
        <w:right w:val="none" w:sz="0" w:space="0" w:color="auto"/>
      </w:divBdr>
    </w:div>
    <w:div w:id="693382695">
      <w:bodyDiv w:val="1"/>
      <w:marLeft w:val="0"/>
      <w:marRight w:val="0"/>
      <w:marTop w:val="0"/>
      <w:marBottom w:val="0"/>
      <w:divBdr>
        <w:top w:val="none" w:sz="0" w:space="0" w:color="auto"/>
        <w:left w:val="none" w:sz="0" w:space="0" w:color="auto"/>
        <w:bottom w:val="none" w:sz="0" w:space="0" w:color="auto"/>
        <w:right w:val="none" w:sz="0" w:space="0" w:color="auto"/>
      </w:divBdr>
    </w:div>
    <w:div w:id="1359965940">
      <w:bodyDiv w:val="1"/>
      <w:marLeft w:val="0"/>
      <w:marRight w:val="0"/>
      <w:marTop w:val="0"/>
      <w:marBottom w:val="0"/>
      <w:divBdr>
        <w:top w:val="none" w:sz="0" w:space="0" w:color="auto"/>
        <w:left w:val="none" w:sz="0" w:space="0" w:color="auto"/>
        <w:bottom w:val="none" w:sz="0" w:space="0" w:color="auto"/>
        <w:right w:val="none" w:sz="0" w:space="0" w:color="auto"/>
      </w:divBdr>
    </w:div>
    <w:div w:id="213158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stornormativo.creg.gov.co/gestor/entorno/docs/ley_0143_1994.ht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estornormativo.creg.gov.co/gestor/entorno/docs/ley_0143_1994.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estornormativo.creg.gov.co/gestor/entorno/docs/ley_0142_1994.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https://gestornormativo.creg.gov.co/gestor/entorno/docs/ley_0143_1994.ht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estornormativo.creg.gov.co/gestor/entorno/docs/ley_0143_199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5" ma:contentTypeDescription="Crear nuevo documento." ma:contentTypeScope="" ma:versionID="17f2a170d553fb93ad4ee4bdf6a16c42">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b59e0bb1a8da7664ae293ee389bee3f9"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02a0a591-6e08-4792-bc2c-079f6227fde3}" ma:internalName="TaxCatchAll" ma:showField="CatchAllData" ma:web="309f6219-a73f-4366-a00d-6bacb1e9f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90cc45-9d06-4234-8034-eeec6c0c7cc1">
      <Terms xmlns="http://schemas.microsoft.com/office/infopath/2007/PartnerControls"/>
    </lcf76f155ced4ddcb4097134ff3c332f>
    <TaxCatchAll xmlns="309f6219-a73f-4366-a00d-6bacb1e9f8e0" xsi:nil="true"/>
  </documentManagement>
</p:properties>
</file>

<file path=customXml/itemProps1.xml><?xml version="1.0" encoding="utf-8"?>
<ds:datastoreItem xmlns:ds="http://schemas.openxmlformats.org/officeDocument/2006/customXml" ds:itemID="{D59C04CB-704A-415F-A103-DDCB968983F5}">
  <ds:schemaRefs>
    <ds:schemaRef ds:uri="http://schemas.microsoft.com/sharepoint/v3/contenttype/forms"/>
  </ds:schemaRefs>
</ds:datastoreItem>
</file>

<file path=customXml/itemProps2.xml><?xml version="1.0" encoding="utf-8"?>
<ds:datastoreItem xmlns:ds="http://schemas.openxmlformats.org/officeDocument/2006/customXml" ds:itemID="{B92B46BA-5782-4E7D-B535-ED2152F6C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1FE04-E078-4CAA-9494-373B8A607A3C}">
  <ds:schemaRef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309f6219-a73f-4366-a00d-6bacb1e9f8e0"/>
    <ds:schemaRef ds:uri="http://purl.org/dc/terms/"/>
    <ds:schemaRef ds:uri="http://www.w3.org/XML/1998/namespace"/>
    <ds:schemaRef ds:uri="http://schemas.microsoft.com/office/infopath/2007/PartnerControls"/>
    <ds:schemaRef ds:uri="0f90cc45-9d06-4234-8034-eeec6c0c7cc1"/>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8</Pages>
  <Words>3212</Words>
  <Characters>16970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Eliana Rodriguez Fonseca</cp:lastModifiedBy>
  <cp:revision>3</cp:revision>
  <cp:lastPrinted>2023-12-21T19:27:00Z</cp:lastPrinted>
  <dcterms:created xsi:type="dcterms:W3CDTF">2023-12-21T19:27:00Z</dcterms:created>
  <dcterms:modified xsi:type="dcterms:W3CDTF">2023-12-21T19:28:00Z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y fmtid="{D5CDD505-2E9C-101B-9397-08002B2CF9AE}" pid="3" name="MediaServiceImageTags">
    <vt:lpwstr/>
  </property>
</Properties>
</file>