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57E5B" w14:textId="6039B6A6" w:rsidR="00666AA7" w:rsidRPr="000B454D" w:rsidRDefault="001F3F11" w:rsidP="007615C3">
      <w:pPr>
        <w:pStyle w:val="Titulo"/>
        <w:numPr>
          <w:ilvl w:val="0"/>
          <w:numId w:val="0"/>
        </w:numPr>
        <w:ind w:left="360" w:hanging="360"/>
        <w:jc w:val="both"/>
        <w:rPr>
          <w:rFonts w:ascii="Arial" w:hAnsi="Arial" w:cs="Arial"/>
          <w:color w:val="000000"/>
          <w:sz w:val="22"/>
          <w:szCs w:val="22"/>
        </w:rPr>
      </w:pPr>
      <w:r w:rsidRPr="007615C3">
        <w:rPr>
          <w:rFonts w:ascii="Arial" w:hAnsi="Arial" w:cs="Arial"/>
          <w:b/>
          <w:sz w:val="22"/>
          <w:szCs w:val="22"/>
        </w:rPr>
        <w:t>1.</w:t>
      </w:r>
      <w:r w:rsidR="00F55825" w:rsidRPr="007615C3">
        <w:rPr>
          <w:rFonts w:ascii="Arial" w:hAnsi="Arial" w:cs="Arial"/>
          <w:b/>
          <w:sz w:val="22"/>
          <w:szCs w:val="22"/>
        </w:rPr>
        <w:t>2.</w:t>
      </w:r>
      <w:r w:rsidR="007615C3" w:rsidRPr="007615C3">
        <w:rPr>
          <w:rFonts w:ascii="Arial" w:hAnsi="Arial" w:cs="Arial"/>
          <w:b/>
          <w:sz w:val="22"/>
          <w:szCs w:val="22"/>
        </w:rPr>
        <w:tab/>
      </w:r>
      <w:r w:rsidR="00666AA7" w:rsidRPr="004173AD">
        <w:rPr>
          <w:rFonts w:ascii="Arial" w:hAnsi="Arial" w:cs="Arial"/>
          <w:b/>
          <w:color w:val="000000"/>
          <w:sz w:val="22"/>
          <w:szCs w:val="22"/>
        </w:rPr>
        <w:t xml:space="preserve">Ponderación de activos </w:t>
      </w:r>
      <w:r w:rsidR="002E19B2" w:rsidRPr="004173AD">
        <w:rPr>
          <w:rFonts w:ascii="Arial" w:hAnsi="Arial" w:cs="Arial"/>
          <w:b/>
          <w:color w:val="000000"/>
          <w:sz w:val="22"/>
          <w:szCs w:val="22"/>
        </w:rPr>
        <w:t xml:space="preserve">y garantías </w:t>
      </w:r>
      <w:r w:rsidR="00666AA7" w:rsidRPr="004173AD">
        <w:rPr>
          <w:rFonts w:ascii="Arial" w:hAnsi="Arial" w:cs="Arial"/>
          <w:b/>
          <w:color w:val="000000"/>
          <w:sz w:val="22"/>
          <w:szCs w:val="22"/>
        </w:rPr>
        <w:t>por riesgo de contraparte</w:t>
      </w:r>
    </w:p>
    <w:p w14:paraId="5A6E35AE" w14:textId="77777777" w:rsidR="00261CB1" w:rsidRPr="000B454D" w:rsidRDefault="00261CB1" w:rsidP="001454A1">
      <w:pPr>
        <w:pStyle w:val="Titulo2"/>
        <w:numPr>
          <w:ilvl w:val="0"/>
          <w:numId w:val="0"/>
        </w:numPr>
        <w:spacing w:line="240" w:lineRule="atLeast"/>
        <w:jc w:val="both"/>
        <w:rPr>
          <w:rFonts w:ascii="Arial" w:hAnsi="Arial" w:cs="Arial"/>
          <w:color w:val="000000"/>
          <w:sz w:val="22"/>
          <w:szCs w:val="22"/>
        </w:rPr>
      </w:pPr>
    </w:p>
    <w:p w14:paraId="5F9D4C8B" w14:textId="130E9195" w:rsidR="00AE281C" w:rsidRPr="002E19B2" w:rsidRDefault="00666AA7" w:rsidP="00666AA7">
      <w:pPr>
        <w:spacing w:line="240" w:lineRule="atLeast"/>
        <w:jc w:val="both"/>
        <w:rPr>
          <w:rFonts w:ascii="Arial" w:hAnsi="Arial" w:cs="Arial"/>
          <w:color w:val="000000"/>
          <w:sz w:val="22"/>
          <w:szCs w:val="22"/>
        </w:rPr>
      </w:pPr>
      <w:r w:rsidRPr="002E19B2">
        <w:rPr>
          <w:rFonts w:ascii="Arial" w:hAnsi="Arial" w:cs="Arial"/>
          <w:color w:val="000000"/>
          <w:sz w:val="22"/>
          <w:szCs w:val="22"/>
        </w:rPr>
        <w:t>En concordancia con lo previsto en el artículo 2.13.1.1.9 del Decreto 2555 de 2010 se debe asignar una ponderación de 0% a la exposición por riesgo de crédito de contraparte en las operaciones aceptadas por una cámara de riesgo central de contraparte</w:t>
      </w:r>
      <w:r w:rsidR="002E19B2" w:rsidRPr="002E19B2">
        <w:rPr>
          <w:rFonts w:ascii="Arial" w:hAnsi="Arial" w:cs="Arial"/>
          <w:color w:val="000000"/>
          <w:sz w:val="22"/>
          <w:szCs w:val="22"/>
        </w:rPr>
        <w:t xml:space="preserve"> y </w:t>
      </w:r>
      <w:r w:rsidRPr="002E19B2">
        <w:rPr>
          <w:rFonts w:ascii="Arial" w:hAnsi="Arial" w:cs="Arial"/>
          <w:color w:val="000000"/>
          <w:sz w:val="22"/>
          <w:szCs w:val="22"/>
        </w:rPr>
        <w:t>a la exposición de riesgo de crédito de contraparte</w:t>
      </w:r>
      <w:r w:rsidR="006E3B8D">
        <w:rPr>
          <w:rFonts w:ascii="Arial" w:hAnsi="Arial" w:cs="Arial"/>
          <w:color w:val="000000"/>
          <w:sz w:val="22"/>
          <w:szCs w:val="22"/>
        </w:rPr>
        <w:t xml:space="preserve"> de</w:t>
      </w:r>
      <w:r w:rsidRPr="002E19B2">
        <w:rPr>
          <w:rFonts w:ascii="Arial" w:hAnsi="Arial" w:cs="Arial"/>
          <w:color w:val="000000"/>
          <w:sz w:val="22"/>
          <w:szCs w:val="22"/>
        </w:rPr>
        <w:t xml:space="preserve"> las garantías otorgadas a una cámara de riesgo central de contraparte.</w:t>
      </w:r>
    </w:p>
    <w:p w14:paraId="54DC0329" w14:textId="4CDF16C1" w:rsidR="00666AA7" w:rsidRDefault="00666AA7" w:rsidP="00666AA7">
      <w:pPr>
        <w:spacing w:line="240" w:lineRule="atLeast"/>
        <w:jc w:val="both"/>
        <w:rPr>
          <w:rFonts w:ascii="Arial" w:hAnsi="Arial" w:cs="Arial"/>
          <w:color w:val="000000"/>
          <w:sz w:val="22"/>
          <w:szCs w:val="22"/>
        </w:rPr>
      </w:pPr>
    </w:p>
    <w:p w14:paraId="2578D93C" w14:textId="25619829" w:rsidR="00AE281C" w:rsidRDefault="001C0E34" w:rsidP="00CC5EA7">
      <w:pPr>
        <w:pBdr>
          <w:left w:val="single" w:sz="4" w:space="4" w:color="auto"/>
        </w:pBdr>
        <w:spacing w:line="240" w:lineRule="atLeast"/>
        <w:jc w:val="both"/>
        <w:rPr>
          <w:rFonts w:ascii="Arial" w:hAnsi="Arial" w:cs="Arial"/>
          <w:color w:val="000000"/>
          <w:sz w:val="22"/>
          <w:szCs w:val="22"/>
        </w:rPr>
      </w:pPr>
      <w:r w:rsidRPr="00CC5EA7">
        <w:rPr>
          <w:rFonts w:ascii="Arial" w:hAnsi="Arial" w:cs="Arial"/>
          <w:b/>
          <w:bCs/>
          <w:color w:val="000000"/>
          <w:sz w:val="22"/>
          <w:szCs w:val="22"/>
        </w:rPr>
        <w:t xml:space="preserve">Asimismo, se debe asignar una ponderación de 0% a la exposición por riesgo de crédito de contraparte en las operaciones aceptadas por una </w:t>
      </w:r>
      <w:r w:rsidR="007819BA" w:rsidRPr="00CC5EA7">
        <w:rPr>
          <w:rFonts w:ascii="Arial" w:hAnsi="Arial" w:cs="Arial"/>
          <w:b/>
          <w:bCs/>
          <w:color w:val="000000"/>
          <w:sz w:val="22"/>
          <w:szCs w:val="22"/>
        </w:rPr>
        <w:t>entidad de contrapartida central extranjera</w:t>
      </w:r>
      <w:r w:rsidR="001D67CA" w:rsidRPr="00CC5EA7">
        <w:rPr>
          <w:rFonts w:ascii="Arial" w:hAnsi="Arial" w:cs="Arial"/>
          <w:b/>
          <w:bCs/>
          <w:color w:val="000000"/>
          <w:sz w:val="22"/>
          <w:szCs w:val="22"/>
        </w:rPr>
        <w:t xml:space="preserve"> reconocida como equivalente por la SFC</w:t>
      </w:r>
      <w:r w:rsidR="003E133D">
        <w:rPr>
          <w:rFonts w:ascii="Arial" w:hAnsi="Arial" w:cs="Arial"/>
          <w:b/>
          <w:bCs/>
          <w:color w:val="000000"/>
          <w:sz w:val="22"/>
          <w:szCs w:val="22"/>
        </w:rPr>
        <w:t>,</w:t>
      </w:r>
      <w:r w:rsidRPr="00CC5EA7">
        <w:rPr>
          <w:rFonts w:ascii="Arial" w:hAnsi="Arial" w:cs="Arial"/>
          <w:b/>
          <w:bCs/>
          <w:color w:val="000000"/>
          <w:sz w:val="22"/>
          <w:szCs w:val="22"/>
        </w:rPr>
        <w:t xml:space="preserve"> y a la exposición de riesgo de crédito de contraparte de las garantías otorgadas a una </w:t>
      </w:r>
      <w:r w:rsidR="001D67CA" w:rsidRPr="00CC5EA7">
        <w:rPr>
          <w:rFonts w:ascii="Arial" w:hAnsi="Arial" w:cs="Arial"/>
          <w:b/>
          <w:bCs/>
          <w:color w:val="000000"/>
          <w:sz w:val="22"/>
          <w:szCs w:val="22"/>
        </w:rPr>
        <w:t>entidad de contrapartida central extranjera reconocida como equivalente por la SFC</w:t>
      </w:r>
      <w:r w:rsidR="00836ABE">
        <w:rPr>
          <w:rFonts w:ascii="Arial" w:hAnsi="Arial" w:cs="Arial"/>
          <w:b/>
          <w:bCs/>
          <w:color w:val="000000"/>
          <w:sz w:val="22"/>
          <w:szCs w:val="22"/>
        </w:rPr>
        <w:t>, de conformidad con el listado publicado en la página web de la S</w:t>
      </w:r>
      <w:r w:rsidR="00A32FC8">
        <w:rPr>
          <w:rFonts w:ascii="Arial" w:hAnsi="Arial" w:cs="Arial"/>
          <w:b/>
          <w:bCs/>
          <w:color w:val="000000"/>
          <w:sz w:val="22"/>
          <w:szCs w:val="22"/>
        </w:rPr>
        <w:t>FC</w:t>
      </w:r>
      <w:r w:rsidRPr="002E19B2">
        <w:rPr>
          <w:rFonts w:ascii="Arial" w:hAnsi="Arial" w:cs="Arial"/>
          <w:color w:val="000000"/>
          <w:sz w:val="22"/>
          <w:szCs w:val="22"/>
        </w:rPr>
        <w:t>.</w:t>
      </w:r>
    </w:p>
    <w:p w14:paraId="04B47997" w14:textId="77777777" w:rsidR="00AE281C" w:rsidRPr="002E19B2" w:rsidRDefault="00AE281C" w:rsidP="00666AA7">
      <w:pPr>
        <w:spacing w:line="240" w:lineRule="atLeast"/>
        <w:jc w:val="both"/>
        <w:rPr>
          <w:rFonts w:ascii="Arial" w:hAnsi="Arial" w:cs="Arial"/>
          <w:color w:val="000000"/>
          <w:sz w:val="22"/>
          <w:szCs w:val="22"/>
        </w:rPr>
      </w:pPr>
    </w:p>
    <w:p w14:paraId="575AECF3" w14:textId="520974B1" w:rsidR="00847F64" w:rsidRDefault="005A1378" w:rsidP="00936A49">
      <w:pPr>
        <w:pStyle w:val="Titulo"/>
        <w:numPr>
          <w:ilvl w:val="0"/>
          <w:numId w:val="0"/>
        </w:numPr>
        <w:jc w:val="both"/>
        <w:rPr>
          <w:rFonts w:ascii="Arial" w:hAnsi="Arial" w:cs="Arial"/>
          <w:b/>
          <w:color w:val="000000"/>
          <w:sz w:val="22"/>
          <w:szCs w:val="22"/>
        </w:rPr>
      </w:pPr>
      <w:r w:rsidRPr="007615C3">
        <w:rPr>
          <w:rFonts w:ascii="Arial" w:hAnsi="Arial" w:cs="Arial"/>
          <w:b/>
          <w:sz w:val="22"/>
          <w:szCs w:val="22"/>
        </w:rPr>
        <w:t>1.</w:t>
      </w:r>
      <w:r w:rsidR="00F55825" w:rsidRPr="007615C3">
        <w:rPr>
          <w:rFonts w:ascii="Arial" w:hAnsi="Arial" w:cs="Arial"/>
          <w:b/>
          <w:sz w:val="22"/>
          <w:szCs w:val="22"/>
        </w:rPr>
        <w:t>3</w:t>
      </w:r>
      <w:r w:rsidRPr="007615C3">
        <w:rPr>
          <w:rFonts w:ascii="Arial" w:hAnsi="Arial" w:cs="Arial"/>
          <w:b/>
          <w:sz w:val="22"/>
          <w:szCs w:val="22"/>
        </w:rPr>
        <w:t>.</w:t>
      </w:r>
      <w:r>
        <w:rPr>
          <w:rFonts w:ascii="Arial" w:hAnsi="Arial" w:cs="Arial"/>
          <w:b/>
          <w:color w:val="000000"/>
          <w:sz w:val="22"/>
          <w:szCs w:val="22"/>
        </w:rPr>
        <w:tab/>
      </w:r>
      <w:r w:rsidR="009B50CC" w:rsidRPr="00847F64">
        <w:rPr>
          <w:rFonts w:ascii="Arial" w:hAnsi="Arial" w:cs="Arial"/>
          <w:b/>
          <w:color w:val="000000"/>
          <w:sz w:val="22"/>
          <w:szCs w:val="22"/>
        </w:rPr>
        <w:t>Ponderación de Instrumentos Financieros Derivados</w:t>
      </w:r>
    </w:p>
    <w:p w14:paraId="156C5F0F" w14:textId="77777777" w:rsidR="00847F64" w:rsidRDefault="00847F64" w:rsidP="00936A49">
      <w:pPr>
        <w:pStyle w:val="Titulo"/>
        <w:numPr>
          <w:ilvl w:val="0"/>
          <w:numId w:val="0"/>
        </w:numPr>
        <w:jc w:val="both"/>
        <w:rPr>
          <w:rFonts w:ascii="Arial" w:hAnsi="Arial" w:cs="Arial"/>
          <w:b/>
          <w:color w:val="000000"/>
          <w:sz w:val="22"/>
          <w:szCs w:val="22"/>
        </w:rPr>
      </w:pPr>
    </w:p>
    <w:p w14:paraId="36DEC5EB" w14:textId="1A42481E" w:rsidR="009B50CC" w:rsidRPr="00847F64" w:rsidRDefault="00847F64" w:rsidP="00936A49">
      <w:pPr>
        <w:pStyle w:val="Titulo"/>
        <w:numPr>
          <w:ilvl w:val="0"/>
          <w:numId w:val="0"/>
        </w:numPr>
        <w:jc w:val="both"/>
        <w:rPr>
          <w:rFonts w:ascii="Arial" w:hAnsi="Arial" w:cs="Arial"/>
          <w:b/>
          <w:color w:val="000000"/>
          <w:spacing w:val="20"/>
          <w:sz w:val="22"/>
          <w:szCs w:val="22"/>
        </w:rPr>
      </w:pPr>
      <w:r>
        <w:rPr>
          <w:rFonts w:ascii="Arial" w:hAnsi="Arial" w:cs="Arial"/>
          <w:color w:val="000000"/>
          <w:sz w:val="22"/>
          <w:szCs w:val="22"/>
        </w:rPr>
        <w:t xml:space="preserve">Para determinar el valor ponderado de los </w:t>
      </w:r>
      <w:r w:rsidR="009B50CC" w:rsidRPr="00847F64">
        <w:rPr>
          <w:rFonts w:ascii="Arial" w:hAnsi="Arial" w:cs="Arial"/>
          <w:color w:val="000000"/>
          <w:sz w:val="22"/>
          <w:szCs w:val="22"/>
        </w:rPr>
        <w:t>instrumentos financieros deri</w:t>
      </w:r>
      <w:r w:rsidR="00E37023" w:rsidRPr="00847F64">
        <w:rPr>
          <w:rFonts w:ascii="Arial" w:hAnsi="Arial" w:cs="Arial"/>
          <w:color w:val="000000"/>
          <w:sz w:val="22"/>
          <w:szCs w:val="22"/>
        </w:rPr>
        <w:t xml:space="preserve">vados se debe multiplicar la </w:t>
      </w:r>
      <w:r w:rsidR="00F55825">
        <w:rPr>
          <w:rFonts w:ascii="Arial" w:hAnsi="Arial" w:cs="Arial"/>
          <w:color w:val="000000"/>
          <w:sz w:val="22"/>
          <w:szCs w:val="22"/>
        </w:rPr>
        <w:t>E</w:t>
      </w:r>
      <w:r w:rsidR="00E37023" w:rsidRPr="00847F64">
        <w:rPr>
          <w:rFonts w:ascii="Arial" w:hAnsi="Arial" w:cs="Arial"/>
          <w:color w:val="000000"/>
          <w:sz w:val="22"/>
          <w:szCs w:val="22"/>
        </w:rPr>
        <w:t xml:space="preserve">xposición </w:t>
      </w:r>
      <w:r w:rsidR="00F55825">
        <w:rPr>
          <w:rFonts w:ascii="Arial" w:hAnsi="Arial" w:cs="Arial"/>
          <w:color w:val="000000"/>
          <w:sz w:val="22"/>
          <w:szCs w:val="22"/>
        </w:rPr>
        <w:t>C</w:t>
      </w:r>
      <w:r w:rsidR="00E37023" w:rsidRPr="00847F64">
        <w:rPr>
          <w:rFonts w:ascii="Arial" w:hAnsi="Arial" w:cs="Arial"/>
          <w:color w:val="000000"/>
          <w:sz w:val="22"/>
          <w:szCs w:val="22"/>
        </w:rPr>
        <w:t>rediticia</w:t>
      </w:r>
      <w:r w:rsidR="00F55825">
        <w:rPr>
          <w:rFonts w:ascii="Arial" w:hAnsi="Arial" w:cs="Arial"/>
          <w:color w:val="000000"/>
          <w:sz w:val="22"/>
          <w:szCs w:val="22"/>
        </w:rPr>
        <w:t xml:space="preserve"> - EC</w:t>
      </w:r>
      <w:r w:rsidR="00E37023" w:rsidRPr="00847F64">
        <w:rPr>
          <w:rFonts w:ascii="Arial" w:hAnsi="Arial" w:cs="Arial"/>
          <w:color w:val="000000"/>
          <w:sz w:val="22"/>
          <w:szCs w:val="22"/>
        </w:rPr>
        <w:t xml:space="preserve"> por el factor de p</w:t>
      </w:r>
      <w:r w:rsidR="009B50CC" w:rsidRPr="00847F64">
        <w:rPr>
          <w:rFonts w:ascii="Arial" w:hAnsi="Arial" w:cs="Arial"/>
          <w:color w:val="000000"/>
          <w:sz w:val="22"/>
          <w:szCs w:val="22"/>
        </w:rPr>
        <w:t>onderación que corresponda</w:t>
      </w:r>
      <w:r w:rsidR="00F55825">
        <w:rPr>
          <w:rFonts w:ascii="Arial" w:hAnsi="Arial" w:cs="Arial"/>
          <w:color w:val="000000"/>
          <w:sz w:val="22"/>
          <w:szCs w:val="22"/>
        </w:rPr>
        <w:t xml:space="preserve"> a cada contraparte</w:t>
      </w:r>
      <w:r w:rsidR="009B50CC" w:rsidRPr="00847F64">
        <w:rPr>
          <w:rFonts w:ascii="Arial" w:hAnsi="Arial" w:cs="Arial"/>
          <w:color w:val="000000"/>
          <w:sz w:val="22"/>
          <w:szCs w:val="22"/>
        </w:rPr>
        <w:t xml:space="preserve">. En este sentido, dichas operaciones afectarán los </w:t>
      </w:r>
      <w:r w:rsidR="00121058" w:rsidRPr="00847F64">
        <w:rPr>
          <w:rFonts w:ascii="Arial" w:hAnsi="Arial" w:cs="Arial"/>
          <w:color w:val="000000"/>
          <w:sz w:val="22"/>
          <w:szCs w:val="22"/>
        </w:rPr>
        <w:t>APNR</w:t>
      </w:r>
      <w:r w:rsidR="009B50CC" w:rsidRPr="00847F64">
        <w:rPr>
          <w:rFonts w:ascii="Arial" w:hAnsi="Arial" w:cs="Arial"/>
          <w:color w:val="000000"/>
          <w:sz w:val="22"/>
          <w:szCs w:val="22"/>
        </w:rPr>
        <w:t xml:space="preserve"> de acuerdo con su exposición crediticia y dependiendo de la </w:t>
      </w:r>
      <w:r w:rsidR="00C546DE">
        <w:rPr>
          <w:rFonts w:ascii="Arial" w:hAnsi="Arial" w:cs="Arial"/>
          <w:color w:val="000000"/>
          <w:sz w:val="22"/>
          <w:szCs w:val="22"/>
        </w:rPr>
        <w:t xml:space="preserve">ponderación de la </w:t>
      </w:r>
      <w:r w:rsidR="009B50CC" w:rsidRPr="00847F64">
        <w:rPr>
          <w:rFonts w:ascii="Arial" w:hAnsi="Arial" w:cs="Arial"/>
          <w:color w:val="000000"/>
          <w:sz w:val="22"/>
          <w:szCs w:val="22"/>
        </w:rPr>
        <w:t xml:space="preserve">contraparte </w:t>
      </w:r>
      <w:r w:rsidR="00660893" w:rsidRPr="00847F64">
        <w:rPr>
          <w:rFonts w:ascii="Arial" w:hAnsi="Arial" w:cs="Arial"/>
          <w:color w:val="000000"/>
          <w:sz w:val="22"/>
          <w:szCs w:val="22"/>
        </w:rPr>
        <w:t xml:space="preserve">de </w:t>
      </w:r>
      <w:r w:rsidR="009B50CC" w:rsidRPr="00847F64">
        <w:rPr>
          <w:rFonts w:ascii="Arial" w:hAnsi="Arial" w:cs="Arial"/>
          <w:color w:val="000000"/>
          <w:sz w:val="22"/>
          <w:szCs w:val="22"/>
        </w:rPr>
        <w:t>que se trate.</w:t>
      </w:r>
    </w:p>
    <w:p w14:paraId="1B5B8F1B" w14:textId="77777777" w:rsidR="009B50CC" w:rsidRPr="00A329B8" w:rsidRDefault="009B50CC" w:rsidP="009B50CC">
      <w:pPr>
        <w:spacing w:line="240" w:lineRule="atLeast"/>
        <w:jc w:val="both"/>
        <w:rPr>
          <w:rFonts w:ascii="Arial" w:hAnsi="Arial" w:cs="Arial"/>
          <w:color w:val="000000"/>
          <w:sz w:val="22"/>
          <w:szCs w:val="22"/>
        </w:rPr>
      </w:pPr>
    </w:p>
    <w:p w14:paraId="6389A103" w14:textId="480236CF" w:rsidR="00476284" w:rsidRDefault="00792992" w:rsidP="00121058">
      <w:pPr>
        <w:jc w:val="both"/>
        <w:rPr>
          <w:rFonts w:ascii="Arial" w:hAnsi="Arial" w:cs="Arial"/>
          <w:color w:val="000000"/>
          <w:sz w:val="22"/>
          <w:szCs w:val="22"/>
        </w:rPr>
      </w:pPr>
      <w:r>
        <w:rPr>
          <w:rFonts w:ascii="Arial" w:hAnsi="Arial" w:cs="Arial"/>
          <w:color w:val="000000"/>
          <w:sz w:val="22"/>
          <w:szCs w:val="22"/>
        </w:rPr>
        <w:t>L</w:t>
      </w:r>
      <w:r w:rsidR="0054671F">
        <w:rPr>
          <w:rFonts w:ascii="Arial" w:hAnsi="Arial" w:cs="Arial"/>
          <w:color w:val="000000"/>
          <w:sz w:val="22"/>
          <w:szCs w:val="22"/>
        </w:rPr>
        <w:t xml:space="preserve">as entidades deben calcular la </w:t>
      </w:r>
      <w:r w:rsidR="00F55825">
        <w:rPr>
          <w:rFonts w:ascii="Arial" w:hAnsi="Arial" w:cs="Arial"/>
          <w:color w:val="000000"/>
          <w:sz w:val="22"/>
          <w:szCs w:val="22"/>
        </w:rPr>
        <w:t xml:space="preserve">EC </w:t>
      </w:r>
      <w:r w:rsidR="0054671F">
        <w:rPr>
          <w:rFonts w:ascii="Arial" w:hAnsi="Arial" w:cs="Arial"/>
          <w:color w:val="000000"/>
          <w:sz w:val="22"/>
          <w:szCs w:val="22"/>
        </w:rPr>
        <w:t xml:space="preserve">de los instrumentos financieros derivados conforme las instrucciones del </w:t>
      </w:r>
      <w:r w:rsidR="005A1378">
        <w:rPr>
          <w:rFonts w:ascii="Arial" w:hAnsi="Arial" w:cs="Arial"/>
          <w:color w:val="000000"/>
          <w:sz w:val="22"/>
          <w:szCs w:val="22"/>
        </w:rPr>
        <w:t xml:space="preserve">anexo 3 del </w:t>
      </w:r>
      <w:r w:rsidR="0054671F">
        <w:rPr>
          <w:rFonts w:ascii="Arial" w:hAnsi="Arial" w:cs="Arial"/>
          <w:color w:val="000000"/>
          <w:sz w:val="22"/>
          <w:szCs w:val="22"/>
        </w:rPr>
        <w:t xml:space="preserve">Capítulo XVIII de la </w:t>
      </w:r>
      <w:r w:rsidR="0054671F" w:rsidRPr="00A329B8">
        <w:rPr>
          <w:rFonts w:ascii="Arial" w:hAnsi="Arial" w:cs="Arial"/>
          <w:color w:val="000000"/>
          <w:sz w:val="22"/>
          <w:szCs w:val="22"/>
        </w:rPr>
        <w:t>Circular</w:t>
      </w:r>
      <w:r w:rsidR="0054671F">
        <w:rPr>
          <w:rFonts w:ascii="Arial" w:hAnsi="Arial" w:cs="Arial"/>
          <w:color w:val="000000"/>
          <w:sz w:val="22"/>
          <w:szCs w:val="22"/>
        </w:rPr>
        <w:t xml:space="preserve"> Básica Contable y Financiera </w:t>
      </w:r>
      <w:r w:rsidR="00F55825">
        <w:rPr>
          <w:rFonts w:ascii="Arial" w:hAnsi="Arial" w:cs="Arial"/>
          <w:color w:val="000000"/>
          <w:sz w:val="22"/>
          <w:szCs w:val="22"/>
        </w:rPr>
        <w:t>–</w:t>
      </w:r>
      <w:r w:rsidR="0054671F">
        <w:rPr>
          <w:rFonts w:ascii="Arial" w:hAnsi="Arial" w:cs="Arial"/>
          <w:color w:val="000000"/>
          <w:sz w:val="22"/>
          <w:szCs w:val="22"/>
        </w:rPr>
        <w:t xml:space="preserve"> CBCF</w:t>
      </w:r>
      <w:r w:rsidR="00F55825">
        <w:rPr>
          <w:rFonts w:ascii="Arial" w:hAnsi="Arial" w:cs="Arial"/>
          <w:color w:val="000000"/>
          <w:sz w:val="22"/>
          <w:szCs w:val="22"/>
        </w:rPr>
        <w:t xml:space="preserve"> en concordancia con lo estipulado </w:t>
      </w:r>
      <w:r w:rsidR="00F55825" w:rsidRPr="00A329B8">
        <w:rPr>
          <w:rFonts w:ascii="Arial" w:hAnsi="Arial" w:cs="Arial"/>
          <w:color w:val="000000"/>
          <w:sz w:val="22"/>
          <w:szCs w:val="22"/>
        </w:rPr>
        <w:t>en el artículo 2.35.1.1.1 del Decreto 2555 de 2010</w:t>
      </w:r>
      <w:r w:rsidR="0054671F">
        <w:rPr>
          <w:rFonts w:ascii="Arial" w:hAnsi="Arial" w:cs="Arial"/>
          <w:color w:val="000000"/>
          <w:sz w:val="22"/>
          <w:szCs w:val="22"/>
        </w:rPr>
        <w:t xml:space="preserve">. Para el establecer la ponderación por riesgo deben tener en cuenta </w:t>
      </w:r>
      <w:r w:rsidR="009B50CC" w:rsidRPr="00A329B8">
        <w:rPr>
          <w:rFonts w:ascii="Arial" w:hAnsi="Arial" w:cs="Arial"/>
          <w:color w:val="000000"/>
          <w:sz w:val="22"/>
          <w:szCs w:val="22"/>
        </w:rPr>
        <w:t>los siguientes pasos:</w:t>
      </w:r>
    </w:p>
    <w:p w14:paraId="57586849" w14:textId="4070E441" w:rsidR="00121058" w:rsidRDefault="00121058" w:rsidP="00121058">
      <w:pPr>
        <w:jc w:val="both"/>
        <w:rPr>
          <w:rFonts w:ascii="Arial" w:hAnsi="Arial" w:cs="Arial"/>
          <w:sz w:val="22"/>
          <w:szCs w:val="22"/>
        </w:rPr>
      </w:pPr>
    </w:p>
    <w:p w14:paraId="2638C084" w14:textId="753DC9B2" w:rsidR="00FB7024" w:rsidRPr="00A329B8" w:rsidRDefault="00121058" w:rsidP="00121058">
      <w:pPr>
        <w:jc w:val="both"/>
        <w:rPr>
          <w:rFonts w:ascii="Arial" w:hAnsi="Arial" w:cs="Arial"/>
          <w:color w:val="000000"/>
          <w:sz w:val="22"/>
          <w:szCs w:val="22"/>
        </w:rPr>
      </w:pPr>
      <w:r>
        <w:rPr>
          <w:rFonts w:ascii="Arial" w:hAnsi="Arial" w:cs="Arial"/>
          <w:color w:val="000000"/>
          <w:sz w:val="22"/>
          <w:szCs w:val="22"/>
        </w:rPr>
        <w:t>a</w:t>
      </w:r>
      <w:r w:rsidRPr="00A329B8">
        <w:rPr>
          <w:rFonts w:ascii="Arial" w:hAnsi="Arial" w:cs="Arial"/>
          <w:color w:val="000000"/>
          <w:sz w:val="22"/>
          <w:szCs w:val="22"/>
        </w:rPr>
        <w:t>.</w:t>
      </w:r>
      <w:r w:rsidRPr="00A329B8">
        <w:rPr>
          <w:rFonts w:ascii="Arial" w:hAnsi="Arial" w:cs="Arial"/>
          <w:color w:val="000000"/>
          <w:sz w:val="22"/>
          <w:szCs w:val="22"/>
        </w:rPr>
        <w:tab/>
      </w:r>
      <w:r w:rsidR="009B50CC" w:rsidRPr="00A329B8">
        <w:rPr>
          <w:rFonts w:ascii="Arial" w:hAnsi="Arial" w:cs="Arial"/>
          <w:color w:val="000000"/>
          <w:sz w:val="22"/>
          <w:szCs w:val="22"/>
        </w:rPr>
        <w:t>Cálculo de la</w:t>
      </w:r>
      <w:r w:rsidR="00F55825">
        <w:rPr>
          <w:rFonts w:ascii="Arial" w:hAnsi="Arial" w:cs="Arial"/>
          <w:color w:val="000000"/>
          <w:sz w:val="22"/>
          <w:szCs w:val="22"/>
        </w:rPr>
        <w:t xml:space="preserve"> EC</w:t>
      </w:r>
      <w:r w:rsidR="009B50CC" w:rsidRPr="00A329B8">
        <w:rPr>
          <w:rFonts w:ascii="Arial" w:hAnsi="Arial" w:cs="Arial"/>
          <w:color w:val="000000"/>
          <w:sz w:val="22"/>
          <w:szCs w:val="22"/>
        </w:rPr>
        <w:t xml:space="preserve">: La </w:t>
      </w:r>
      <w:r w:rsidR="00F55825">
        <w:rPr>
          <w:rFonts w:ascii="Arial" w:hAnsi="Arial" w:cs="Arial"/>
          <w:color w:val="000000"/>
          <w:sz w:val="22"/>
          <w:szCs w:val="22"/>
        </w:rPr>
        <w:t xml:space="preserve">EC </w:t>
      </w:r>
      <w:r w:rsidR="009B50CC" w:rsidRPr="00A329B8">
        <w:rPr>
          <w:rFonts w:ascii="Arial" w:hAnsi="Arial" w:cs="Arial"/>
          <w:color w:val="000000"/>
          <w:sz w:val="22"/>
          <w:szCs w:val="22"/>
        </w:rPr>
        <w:t xml:space="preserve">de un instrumento financiero derivado se calculará según lo establecido en el Anexo </w:t>
      </w:r>
      <w:r w:rsidR="00A05B76" w:rsidRPr="00A329B8">
        <w:rPr>
          <w:rFonts w:ascii="Arial" w:hAnsi="Arial" w:cs="Arial"/>
          <w:color w:val="000000"/>
          <w:sz w:val="22"/>
          <w:szCs w:val="22"/>
        </w:rPr>
        <w:t>3</w:t>
      </w:r>
      <w:r w:rsidR="009B50CC" w:rsidRPr="00A329B8">
        <w:rPr>
          <w:rFonts w:ascii="Arial" w:hAnsi="Arial" w:cs="Arial"/>
          <w:color w:val="000000"/>
          <w:sz w:val="22"/>
          <w:szCs w:val="22"/>
        </w:rPr>
        <w:t xml:space="preserve"> del Capítulo XVIII de la </w:t>
      </w:r>
      <w:r w:rsidR="0054671F">
        <w:rPr>
          <w:rFonts w:ascii="Arial" w:hAnsi="Arial" w:cs="Arial"/>
          <w:color w:val="000000"/>
          <w:sz w:val="22"/>
          <w:szCs w:val="22"/>
        </w:rPr>
        <w:t xml:space="preserve">CBCF </w:t>
      </w:r>
      <w:r w:rsidR="00847F64">
        <w:rPr>
          <w:rFonts w:ascii="Arial" w:hAnsi="Arial" w:cs="Arial"/>
          <w:color w:val="000000"/>
          <w:sz w:val="22"/>
          <w:szCs w:val="22"/>
        </w:rPr>
        <w:t>expedida por la SFC</w:t>
      </w:r>
      <w:r w:rsidR="0035144F" w:rsidRPr="00A329B8">
        <w:rPr>
          <w:rFonts w:ascii="Arial" w:hAnsi="Arial" w:cs="Arial"/>
          <w:color w:val="000000"/>
          <w:sz w:val="22"/>
          <w:szCs w:val="22"/>
        </w:rPr>
        <w:t>.</w:t>
      </w:r>
    </w:p>
    <w:p w14:paraId="75FB3D43" w14:textId="77777777" w:rsidR="00FB7024" w:rsidRPr="00A329B8" w:rsidRDefault="00FB7024" w:rsidP="00FB7024">
      <w:pPr>
        <w:pStyle w:val="Titulo2"/>
        <w:numPr>
          <w:ilvl w:val="0"/>
          <w:numId w:val="0"/>
        </w:numPr>
        <w:jc w:val="both"/>
        <w:rPr>
          <w:rFonts w:ascii="Arial" w:hAnsi="Arial" w:cs="Arial"/>
          <w:color w:val="000000"/>
          <w:sz w:val="22"/>
          <w:szCs w:val="22"/>
        </w:rPr>
      </w:pPr>
    </w:p>
    <w:p w14:paraId="552823DA" w14:textId="21322BEB" w:rsidR="009B50CC" w:rsidRPr="00A329B8" w:rsidRDefault="009B50CC" w:rsidP="00FB7024">
      <w:pPr>
        <w:pStyle w:val="Titulo2"/>
        <w:numPr>
          <w:ilvl w:val="0"/>
          <w:numId w:val="0"/>
        </w:numPr>
        <w:jc w:val="both"/>
        <w:rPr>
          <w:rFonts w:ascii="Arial" w:hAnsi="Arial" w:cs="Arial"/>
          <w:color w:val="000000"/>
          <w:sz w:val="22"/>
          <w:szCs w:val="22"/>
        </w:rPr>
      </w:pPr>
      <w:r w:rsidRPr="00A329B8">
        <w:rPr>
          <w:rFonts w:ascii="Arial" w:hAnsi="Arial" w:cs="Arial"/>
          <w:color w:val="000000"/>
          <w:sz w:val="22"/>
          <w:szCs w:val="22"/>
        </w:rPr>
        <w:t>b.</w:t>
      </w:r>
      <w:r w:rsidRPr="00A329B8">
        <w:rPr>
          <w:rFonts w:ascii="Arial" w:hAnsi="Arial" w:cs="Arial"/>
          <w:color w:val="000000"/>
          <w:sz w:val="22"/>
          <w:szCs w:val="22"/>
        </w:rPr>
        <w:tab/>
        <w:t>Incorporación al cálculo de los</w:t>
      </w:r>
      <w:r w:rsidR="005A1378">
        <w:rPr>
          <w:rFonts w:ascii="Arial" w:hAnsi="Arial" w:cs="Arial"/>
          <w:color w:val="000000"/>
          <w:sz w:val="22"/>
          <w:szCs w:val="22"/>
        </w:rPr>
        <w:t xml:space="preserve"> </w:t>
      </w:r>
      <w:r w:rsidR="0054671F">
        <w:rPr>
          <w:rFonts w:ascii="Arial" w:hAnsi="Arial" w:cs="Arial"/>
          <w:color w:val="000000"/>
          <w:sz w:val="22"/>
          <w:szCs w:val="22"/>
        </w:rPr>
        <w:t>APNR</w:t>
      </w:r>
      <w:r w:rsidRPr="00A329B8">
        <w:rPr>
          <w:rFonts w:ascii="Arial" w:hAnsi="Arial" w:cs="Arial"/>
          <w:color w:val="000000"/>
          <w:sz w:val="22"/>
          <w:szCs w:val="22"/>
        </w:rPr>
        <w:t xml:space="preserve">: Una vez calculada la </w:t>
      </w:r>
      <w:r w:rsidR="00F55825">
        <w:rPr>
          <w:rFonts w:ascii="Arial" w:hAnsi="Arial" w:cs="Arial"/>
          <w:color w:val="000000"/>
          <w:sz w:val="22"/>
          <w:szCs w:val="22"/>
        </w:rPr>
        <w:t>EC</w:t>
      </w:r>
      <w:r w:rsidRPr="00A329B8">
        <w:rPr>
          <w:rFonts w:ascii="Arial" w:hAnsi="Arial" w:cs="Arial"/>
          <w:color w:val="000000"/>
          <w:sz w:val="22"/>
          <w:szCs w:val="22"/>
        </w:rPr>
        <w:t xml:space="preserve"> se deberá determinar su contribución a los APNR de la siguiente manera:</w:t>
      </w:r>
    </w:p>
    <w:p w14:paraId="7FF45821" w14:textId="77777777" w:rsidR="009B50CC" w:rsidRPr="00A329B8" w:rsidRDefault="009B50CC" w:rsidP="009B50CC">
      <w:pPr>
        <w:spacing w:line="240" w:lineRule="atLeast"/>
        <w:jc w:val="center"/>
        <w:rPr>
          <w:rFonts w:ascii="Arial" w:hAnsi="Arial" w:cs="Arial"/>
          <w:color w:val="000000"/>
          <w:sz w:val="22"/>
          <w:szCs w:val="22"/>
        </w:rPr>
      </w:pPr>
    </w:p>
    <w:p w14:paraId="5BE5E671" w14:textId="6CC489FE" w:rsidR="009B50CC" w:rsidRPr="00A329B8" w:rsidRDefault="00841635" w:rsidP="009B50CC">
      <w:pPr>
        <w:spacing w:line="240" w:lineRule="atLeast"/>
        <w:jc w:val="center"/>
        <w:rPr>
          <w:rFonts w:ascii="Arial" w:hAnsi="Arial" w:cs="Arial"/>
          <w:b/>
          <w:color w:val="000000"/>
          <w:sz w:val="22"/>
          <w:szCs w:val="22"/>
          <w:u w:val="single"/>
        </w:rPr>
      </w:pPr>
      <w:r w:rsidRPr="00A329B8">
        <w:rPr>
          <w:rFonts w:ascii="Arial" w:hAnsi="Arial" w:cs="Arial"/>
          <w:b/>
          <w:noProof/>
          <w:color w:val="000000"/>
          <w:position w:val="-10"/>
          <w:sz w:val="22"/>
          <w:szCs w:val="22"/>
          <w:u w:val="single"/>
        </w:rPr>
        <w:object w:dxaOrig="1840" w:dyaOrig="320" w14:anchorId="62945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pt;height:21pt;mso-width-percent:0;mso-height-percent:0;mso-width-percent:0;mso-height-percent:0" o:ole="" fillcolor="window">
            <v:imagedata r:id="rId11" o:title=""/>
          </v:shape>
          <o:OLEObject Type="Embed" ProgID="Equation.3" ShapeID="_x0000_i1025" DrawAspect="Content" ObjectID="_1720619130" r:id="rId12"/>
        </w:object>
      </w:r>
    </w:p>
    <w:p w14:paraId="1DC67204" w14:textId="77777777" w:rsidR="009B50CC" w:rsidRPr="00A329B8" w:rsidRDefault="009B50CC" w:rsidP="009B50CC">
      <w:pPr>
        <w:spacing w:line="240" w:lineRule="atLeast"/>
        <w:jc w:val="center"/>
        <w:rPr>
          <w:rFonts w:ascii="Arial" w:hAnsi="Arial" w:cs="Arial"/>
          <w:color w:val="000000"/>
          <w:sz w:val="22"/>
          <w:szCs w:val="22"/>
        </w:rPr>
      </w:pPr>
    </w:p>
    <w:p w14:paraId="6110CBAF" w14:textId="46DD1E26" w:rsidR="009B50CC" w:rsidRPr="00FD7868" w:rsidRDefault="00DF5E4F" w:rsidP="00611338">
      <w:pPr>
        <w:spacing w:line="240" w:lineRule="atLeast"/>
        <w:jc w:val="both"/>
        <w:rPr>
          <w:rFonts w:ascii="Arial" w:hAnsi="Arial" w:cs="Arial"/>
          <w:color w:val="000000"/>
          <w:sz w:val="22"/>
          <w:szCs w:val="22"/>
        </w:rPr>
      </w:pPr>
      <w:r>
        <w:rPr>
          <w:rFonts w:ascii="Arial" w:hAnsi="Arial" w:cs="Arial"/>
          <w:color w:val="000000"/>
          <w:sz w:val="22"/>
          <w:szCs w:val="22"/>
        </w:rPr>
        <w:t>D</w:t>
      </w:r>
      <w:r w:rsidR="006F3323">
        <w:rPr>
          <w:rFonts w:ascii="Arial" w:hAnsi="Arial" w:cs="Arial"/>
          <w:color w:val="000000"/>
          <w:sz w:val="22"/>
          <w:szCs w:val="22"/>
        </w:rPr>
        <w:t xml:space="preserve">onde </w:t>
      </w:r>
      <w:proofErr w:type="spellStart"/>
      <w:r w:rsidR="006F3323">
        <w:rPr>
          <w:rFonts w:ascii="Arial" w:hAnsi="Arial" w:cs="Arial"/>
          <w:color w:val="000000"/>
          <w:sz w:val="22"/>
          <w:szCs w:val="22"/>
        </w:rPr>
        <w:t>Wj</w:t>
      </w:r>
      <w:proofErr w:type="spellEnd"/>
      <w:r w:rsidR="006F3323">
        <w:rPr>
          <w:rFonts w:ascii="Arial" w:hAnsi="Arial" w:cs="Arial"/>
          <w:color w:val="000000"/>
          <w:sz w:val="22"/>
          <w:szCs w:val="22"/>
        </w:rPr>
        <w:t xml:space="preserve"> corresponde al factor de p</w:t>
      </w:r>
      <w:r w:rsidR="003B6FCD">
        <w:rPr>
          <w:rFonts w:ascii="Arial" w:hAnsi="Arial" w:cs="Arial"/>
          <w:color w:val="000000"/>
          <w:sz w:val="22"/>
          <w:szCs w:val="22"/>
        </w:rPr>
        <w:t xml:space="preserve">onderación </w:t>
      </w:r>
      <w:r w:rsidR="009B50CC" w:rsidRPr="00A329B8">
        <w:rPr>
          <w:rFonts w:ascii="Arial" w:hAnsi="Arial" w:cs="Arial"/>
          <w:color w:val="000000"/>
          <w:sz w:val="22"/>
          <w:szCs w:val="22"/>
        </w:rPr>
        <w:t xml:space="preserve">asignado según </w:t>
      </w:r>
      <w:r w:rsidR="00F55825">
        <w:rPr>
          <w:rFonts w:ascii="Arial" w:hAnsi="Arial" w:cs="Arial"/>
          <w:color w:val="000000"/>
          <w:sz w:val="22"/>
          <w:szCs w:val="22"/>
        </w:rPr>
        <w:t xml:space="preserve">el tipo de contraparte y </w:t>
      </w:r>
      <w:r w:rsidR="009B50CC" w:rsidRPr="00A329B8">
        <w:rPr>
          <w:rFonts w:ascii="Arial" w:hAnsi="Arial" w:cs="Arial"/>
          <w:color w:val="000000"/>
          <w:sz w:val="22"/>
          <w:szCs w:val="22"/>
        </w:rPr>
        <w:t xml:space="preserve">la </w:t>
      </w:r>
      <w:r w:rsidR="00F55825">
        <w:rPr>
          <w:rFonts w:ascii="Arial" w:hAnsi="Arial" w:cs="Arial"/>
          <w:color w:val="000000"/>
          <w:sz w:val="22"/>
          <w:szCs w:val="22"/>
        </w:rPr>
        <w:t>calificación otorgada por las sociedades calificadoras autorizadas por la SFC</w:t>
      </w:r>
      <w:r w:rsidR="009B50CC" w:rsidRPr="00A329B8">
        <w:rPr>
          <w:rFonts w:ascii="Arial" w:hAnsi="Arial" w:cs="Arial"/>
          <w:color w:val="000000"/>
          <w:sz w:val="22"/>
          <w:szCs w:val="22"/>
        </w:rPr>
        <w:t>, de</w:t>
      </w:r>
      <w:r w:rsidR="001E1ED4" w:rsidRPr="00A329B8">
        <w:rPr>
          <w:rFonts w:ascii="Arial" w:hAnsi="Arial" w:cs="Arial"/>
          <w:color w:val="000000"/>
          <w:sz w:val="22"/>
          <w:szCs w:val="22"/>
        </w:rPr>
        <w:t xml:space="preserve"> acuerdo con lo dispuesto en </w:t>
      </w:r>
      <w:r w:rsidR="001E1ED4" w:rsidRPr="001847D1">
        <w:rPr>
          <w:rFonts w:ascii="Arial" w:hAnsi="Arial" w:cs="Arial"/>
          <w:color w:val="000000"/>
          <w:sz w:val="22"/>
          <w:szCs w:val="22"/>
        </w:rPr>
        <w:t xml:space="preserve">los </w:t>
      </w:r>
      <w:r w:rsidR="00705FF4" w:rsidRPr="001847D1">
        <w:rPr>
          <w:rFonts w:ascii="Arial" w:hAnsi="Arial" w:cs="Arial"/>
          <w:color w:val="000000"/>
          <w:sz w:val="22"/>
          <w:szCs w:val="22"/>
        </w:rPr>
        <w:t>artículo</w:t>
      </w:r>
      <w:r w:rsidR="001E1ED4" w:rsidRPr="001847D1">
        <w:rPr>
          <w:rFonts w:ascii="Arial" w:hAnsi="Arial" w:cs="Arial"/>
          <w:color w:val="000000"/>
          <w:sz w:val="22"/>
          <w:szCs w:val="22"/>
        </w:rPr>
        <w:t>s</w:t>
      </w:r>
      <w:r w:rsidR="00705FF4" w:rsidRPr="00FD7868">
        <w:rPr>
          <w:rFonts w:ascii="Arial" w:hAnsi="Arial" w:cs="Arial"/>
          <w:color w:val="000000"/>
          <w:sz w:val="22"/>
          <w:szCs w:val="22"/>
        </w:rPr>
        <w:t xml:space="preserve"> </w:t>
      </w:r>
      <w:r w:rsidR="009511E1" w:rsidRPr="00611338">
        <w:rPr>
          <w:rFonts w:ascii="Arial" w:hAnsi="Arial" w:cs="Arial"/>
          <w:color w:val="000000"/>
          <w:sz w:val="22"/>
          <w:szCs w:val="22"/>
        </w:rPr>
        <w:t>2.9.1.1.11,</w:t>
      </w:r>
      <w:r w:rsidR="009511E1" w:rsidRPr="001847D1">
        <w:rPr>
          <w:rFonts w:ascii="Arial" w:hAnsi="Arial" w:cs="Arial"/>
          <w:color w:val="000000"/>
          <w:sz w:val="22"/>
          <w:szCs w:val="22"/>
        </w:rPr>
        <w:t xml:space="preserve"> </w:t>
      </w:r>
      <w:r w:rsidR="001E1ED4" w:rsidRPr="001847D1">
        <w:rPr>
          <w:rFonts w:ascii="Arial" w:hAnsi="Arial" w:cs="Arial"/>
          <w:color w:val="000000"/>
          <w:sz w:val="22"/>
          <w:szCs w:val="22"/>
        </w:rPr>
        <w:t>2.5.3.1.6</w:t>
      </w:r>
      <w:r w:rsidR="00A45FEE" w:rsidRPr="001847D1">
        <w:rPr>
          <w:rFonts w:ascii="Arial" w:hAnsi="Arial" w:cs="Arial"/>
          <w:color w:val="000000"/>
          <w:sz w:val="22"/>
          <w:szCs w:val="22"/>
        </w:rPr>
        <w:t>,</w:t>
      </w:r>
      <w:r w:rsidR="001E1ED4" w:rsidRPr="00FD7868">
        <w:rPr>
          <w:rFonts w:ascii="Arial" w:hAnsi="Arial" w:cs="Arial"/>
          <w:color w:val="000000"/>
          <w:sz w:val="22"/>
          <w:szCs w:val="22"/>
        </w:rPr>
        <w:t xml:space="preserve"> 2.6.1.1.10</w:t>
      </w:r>
      <w:r w:rsidR="009B50CC" w:rsidRPr="00FD7868">
        <w:rPr>
          <w:rFonts w:ascii="Arial" w:hAnsi="Arial" w:cs="Arial"/>
          <w:color w:val="000000"/>
          <w:sz w:val="22"/>
          <w:szCs w:val="22"/>
        </w:rPr>
        <w:t xml:space="preserve"> </w:t>
      </w:r>
      <w:r w:rsidR="00A45FEE" w:rsidRPr="00FD7868">
        <w:rPr>
          <w:rFonts w:ascii="Arial" w:hAnsi="Arial" w:cs="Arial"/>
          <w:color w:val="000000"/>
          <w:sz w:val="22"/>
          <w:szCs w:val="22"/>
        </w:rPr>
        <w:t xml:space="preserve">y </w:t>
      </w:r>
      <w:r w:rsidR="00A45FEE" w:rsidRPr="00611338">
        <w:rPr>
          <w:rFonts w:ascii="Arial" w:hAnsi="Arial" w:cs="Arial"/>
          <w:color w:val="000000"/>
          <w:sz w:val="22"/>
          <w:szCs w:val="22"/>
        </w:rPr>
        <w:t>2.31.1.2.9</w:t>
      </w:r>
      <w:r w:rsidR="00A45FEE" w:rsidRPr="001847D1">
        <w:rPr>
          <w:rFonts w:ascii="Arial" w:hAnsi="Arial" w:cs="Arial"/>
          <w:color w:val="000000"/>
          <w:sz w:val="22"/>
          <w:szCs w:val="22"/>
        </w:rPr>
        <w:t xml:space="preserve"> </w:t>
      </w:r>
      <w:r w:rsidR="009B50CC" w:rsidRPr="001847D1">
        <w:rPr>
          <w:rFonts w:ascii="Arial" w:hAnsi="Arial" w:cs="Arial"/>
          <w:color w:val="000000"/>
          <w:sz w:val="22"/>
          <w:szCs w:val="22"/>
        </w:rPr>
        <w:t>del Decreto 2555 de 2010</w:t>
      </w:r>
      <w:r w:rsidR="00F55825" w:rsidRPr="001847D1">
        <w:rPr>
          <w:rFonts w:ascii="Arial" w:hAnsi="Arial" w:cs="Arial"/>
          <w:color w:val="000000"/>
          <w:sz w:val="22"/>
          <w:szCs w:val="22"/>
        </w:rPr>
        <w:t>, según corresponda</w:t>
      </w:r>
      <w:r w:rsidR="009B50CC" w:rsidRPr="00FD7868">
        <w:rPr>
          <w:rFonts w:ascii="Arial" w:hAnsi="Arial" w:cs="Arial"/>
          <w:color w:val="000000"/>
          <w:sz w:val="22"/>
          <w:szCs w:val="22"/>
        </w:rPr>
        <w:t>.</w:t>
      </w:r>
    </w:p>
    <w:p w14:paraId="14EE728E" w14:textId="77777777" w:rsidR="00B93B29" w:rsidRPr="00611338" w:rsidRDefault="00B93B29" w:rsidP="00611338">
      <w:pPr>
        <w:spacing w:line="240" w:lineRule="atLeast"/>
        <w:jc w:val="both"/>
        <w:rPr>
          <w:rFonts w:ascii="Arial" w:hAnsi="Arial" w:cs="Arial"/>
          <w:color w:val="000000"/>
          <w:sz w:val="22"/>
          <w:szCs w:val="22"/>
        </w:rPr>
      </w:pPr>
    </w:p>
    <w:p w14:paraId="795A8DFA" w14:textId="1E0759D0" w:rsidR="00E63F35" w:rsidRPr="007615C3" w:rsidRDefault="007615C3" w:rsidP="00611338">
      <w:pPr>
        <w:spacing w:line="240" w:lineRule="atLeast"/>
        <w:jc w:val="both"/>
        <w:rPr>
          <w:rFonts w:ascii="Arial" w:hAnsi="Arial" w:cs="Arial"/>
          <w:b/>
          <w:color w:val="000000"/>
          <w:sz w:val="22"/>
          <w:szCs w:val="22"/>
        </w:rPr>
      </w:pPr>
      <w:r>
        <w:rPr>
          <w:rFonts w:ascii="Arial" w:hAnsi="Arial" w:cs="Arial"/>
          <w:b/>
          <w:color w:val="000000"/>
          <w:sz w:val="22"/>
          <w:szCs w:val="22"/>
        </w:rPr>
        <w:t>1.4.</w:t>
      </w:r>
      <w:r>
        <w:rPr>
          <w:rFonts w:ascii="Arial" w:hAnsi="Arial" w:cs="Arial"/>
          <w:b/>
          <w:color w:val="000000"/>
          <w:sz w:val="22"/>
          <w:szCs w:val="22"/>
        </w:rPr>
        <w:tab/>
      </w:r>
      <w:r w:rsidR="00DE2E4C" w:rsidRPr="007615C3">
        <w:rPr>
          <w:rFonts w:ascii="Arial" w:hAnsi="Arial" w:cs="Arial"/>
          <w:b/>
          <w:color w:val="000000"/>
          <w:sz w:val="22"/>
          <w:szCs w:val="22"/>
        </w:rPr>
        <w:t>P</w:t>
      </w:r>
      <w:r w:rsidR="00E63F35" w:rsidRPr="007615C3">
        <w:rPr>
          <w:rFonts w:ascii="Arial" w:hAnsi="Arial" w:cs="Arial"/>
          <w:b/>
          <w:color w:val="000000"/>
          <w:sz w:val="22"/>
          <w:szCs w:val="22"/>
        </w:rPr>
        <w:t xml:space="preserve">onderación </w:t>
      </w:r>
      <w:r w:rsidR="00DF5E4F" w:rsidRPr="007615C3">
        <w:rPr>
          <w:rFonts w:ascii="Arial" w:hAnsi="Arial" w:cs="Arial"/>
          <w:b/>
          <w:color w:val="000000"/>
          <w:sz w:val="22"/>
          <w:szCs w:val="22"/>
        </w:rPr>
        <w:t xml:space="preserve">por riesgo </w:t>
      </w:r>
      <w:r w:rsidR="00E63F35" w:rsidRPr="007615C3">
        <w:rPr>
          <w:rFonts w:ascii="Arial" w:hAnsi="Arial" w:cs="Arial"/>
          <w:b/>
          <w:color w:val="000000"/>
          <w:sz w:val="22"/>
          <w:szCs w:val="22"/>
        </w:rPr>
        <w:t>de los p</w:t>
      </w:r>
      <w:r w:rsidR="00DE2E4C" w:rsidRPr="007615C3">
        <w:rPr>
          <w:rFonts w:ascii="Arial" w:hAnsi="Arial" w:cs="Arial"/>
          <w:b/>
          <w:color w:val="000000"/>
          <w:sz w:val="22"/>
          <w:szCs w:val="22"/>
        </w:rPr>
        <w:t>roductos Estructurados</w:t>
      </w:r>
    </w:p>
    <w:p w14:paraId="22059D98" w14:textId="77777777" w:rsidR="00E63F35" w:rsidRPr="0045466F" w:rsidRDefault="00E63F35" w:rsidP="00E63F35">
      <w:pPr>
        <w:jc w:val="both"/>
        <w:rPr>
          <w:rFonts w:ascii="Arial" w:hAnsi="Arial" w:cs="Arial"/>
          <w:sz w:val="18"/>
          <w:szCs w:val="18"/>
        </w:rPr>
      </w:pPr>
    </w:p>
    <w:p w14:paraId="4C7B9EAB" w14:textId="77777777" w:rsidR="00E63F35" w:rsidRPr="0074288A" w:rsidRDefault="00E63F35" w:rsidP="00E63F35">
      <w:pPr>
        <w:jc w:val="both"/>
        <w:rPr>
          <w:rFonts w:ascii="Arial" w:hAnsi="Arial" w:cs="Arial"/>
          <w:color w:val="000000"/>
          <w:sz w:val="22"/>
          <w:szCs w:val="22"/>
        </w:rPr>
      </w:pPr>
      <w:r w:rsidRPr="0074288A">
        <w:rPr>
          <w:rFonts w:ascii="Arial" w:hAnsi="Arial" w:cs="Arial"/>
          <w:color w:val="000000"/>
          <w:sz w:val="22"/>
          <w:szCs w:val="22"/>
        </w:rPr>
        <w:t>Los productos estructurados ponderan de la siguiente forma:</w:t>
      </w:r>
    </w:p>
    <w:p w14:paraId="3D82E6C7" w14:textId="77777777" w:rsidR="00E63F35" w:rsidRPr="0074288A" w:rsidRDefault="00E63F35" w:rsidP="00E63F35">
      <w:pPr>
        <w:jc w:val="both"/>
        <w:rPr>
          <w:rFonts w:ascii="Arial" w:hAnsi="Arial" w:cs="Arial"/>
          <w:color w:val="000000"/>
          <w:sz w:val="22"/>
          <w:szCs w:val="22"/>
        </w:rPr>
      </w:pPr>
    </w:p>
    <w:p w14:paraId="2982B2D8" w14:textId="7F30ADD5" w:rsidR="004677E7" w:rsidRPr="0074288A" w:rsidRDefault="004677E7" w:rsidP="004677E7">
      <w:pPr>
        <w:pStyle w:val="Prrafodelista"/>
        <w:numPr>
          <w:ilvl w:val="0"/>
          <w:numId w:val="11"/>
        </w:numPr>
        <w:jc w:val="both"/>
        <w:rPr>
          <w:rFonts w:ascii="Arial" w:hAnsi="Arial" w:cs="Arial"/>
          <w:color w:val="000000"/>
          <w:sz w:val="22"/>
          <w:szCs w:val="22"/>
        </w:rPr>
      </w:pPr>
      <w:r w:rsidRPr="0074288A">
        <w:rPr>
          <w:rFonts w:ascii="Arial" w:hAnsi="Arial" w:cs="Arial"/>
          <w:color w:val="000000"/>
          <w:sz w:val="22"/>
          <w:szCs w:val="22"/>
        </w:rPr>
        <w:t>Por su precio justo de intercambio multiplicado por el factor de ponderación que corresponda según la categoría de riesgo del emisor del respectivo producto, atendiendo las instrucciones del Decreto 2555 de 2010</w:t>
      </w:r>
      <w:r w:rsidR="00792992">
        <w:rPr>
          <w:rFonts w:ascii="Arial" w:hAnsi="Arial" w:cs="Arial"/>
          <w:color w:val="000000"/>
          <w:sz w:val="22"/>
          <w:szCs w:val="22"/>
        </w:rPr>
        <w:t xml:space="preserve"> en lo relacionado con el patrimonio adecuado </w:t>
      </w:r>
      <w:r w:rsidR="00B54EB4">
        <w:rPr>
          <w:rFonts w:ascii="Arial" w:hAnsi="Arial" w:cs="Arial"/>
          <w:color w:val="000000"/>
          <w:sz w:val="22"/>
          <w:szCs w:val="22"/>
        </w:rPr>
        <w:t xml:space="preserve">de </w:t>
      </w:r>
      <w:r w:rsidR="00792992">
        <w:rPr>
          <w:rFonts w:ascii="Arial" w:hAnsi="Arial" w:cs="Arial"/>
          <w:color w:val="000000"/>
          <w:sz w:val="22"/>
          <w:szCs w:val="22"/>
        </w:rPr>
        <w:t>las entidades destinatarias de estas instrucciones</w:t>
      </w:r>
      <w:r w:rsidRPr="0074288A">
        <w:rPr>
          <w:rFonts w:ascii="Arial" w:hAnsi="Arial" w:cs="Arial"/>
          <w:color w:val="000000"/>
          <w:sz w:val="22"/>
          <w:szCs w:val="22"/>
        </w:rPr>
        <w:t>.</w:t>
      </w:r>
    </w:p>
    <w:p w14:paraId="3D776C4E" w14:textId="77777777" w:rsidR="004677E7" w:rsidRPr="0074288A" w:rsidRDefault="004677E7" w:rsidP="0074288A">
      <w:pPr>
        <w:jc w:val="both"/>
        <w:rPr>
          <w:rFonts w:ascii="Arial" w:hAnsi="Arial" w:cs="Arial"/>
          <w:color w:val="000000"/>
          <w:sz w:val="22"/>
          <w:szCs w:val="22"/>
        </w:rPr>
      </w:pPr>
    </w:p>
    <w:p w14:paraId="61DC4645" w14:textId="69D74718" w:rsidR="00E63F35" w:rsidRPr="0074288A" w:rsidRDefault="00E63F35" w:rsidP="00E63F35">
      <w:pPr>
        <w:pStyle w:val="Prrafodelista"/>
        <w:numPr>
          <w:ilvl w:val="0"/>
          <w:numId w:val="11"/>
        </w:numPr>
        <w:jc w:val="both"/>
        <w:rPr>
          <w:rFonts w:ascii="Arial" w:hAnsi="Arial" w:cs="Arial"/>
          <w:color w:val="000000"/>
          <w:sz w:val="22"/>
          <w:szCs w:val="22"/>
        </w:rPr>
      </w:pPr>
      <w:r w:rsidRPr="0074288A">
        <w:rPr>
          <w:rFonts w:ascii="Arial" w:hAnsi="Arial" w:cs="Arial"/>
          <w:color w:val="000000"/>
          <w:sz w:val="22"/>
          <w:szCs w:val="22"/>
        </w:rPr>
        <w:t>Cuando se realicen inversiones en productos estructurados cuyos componentes provengan de distintas contrapartes y el vendedor no sea responsable de su pago, dicho producto estructurado debe computar</w:t>
      </w:r>
      <w:r w:rsidR="00CC3CA9">
        <w:rPr>
          <w:rFonts w:ascii="Arial" w:hAnsi="Arial" w:cs="Arial"/>
          <w:color w:val="000000"/>
          <w:sz w:val="22"/>
          <w:szCs w:val="22"/>
        </w:rPr>
        <w:t xml:space="preserve"> </w:t>
      </w:r>
      <w:r w:rsidRPr="0074288A">
        <w:rPr>
          <w:rFonts w:ascii="Arial" w:hAnsi="Arial" w:cs="Arial"/>
          <w:color w:val="000000"/>
          <w:sz w:val="22"/>
          <w:szCs w:val="22"/>
        </w:rPr>
        <w:t>considerando la suma de los siguientes dos factores:</w:t>
      </w:r>
    </w:p>
    <w:p w14:paraId="5A80A712" w14:textId="77777777" w:rsidR="00E63F35" w:rsidRPr="0074288A" w:rsidRDefault="00E63F35" w:rsidP="0074288A">
      <w:pPr>
        <w:jc w:val="both"/>
        <w:rPr>
          <w:rFonts w:ascii="Arial" w:hAnsi="Arial" w:cs="Arial"/>
          <w:color w:val="000000"/>
          <w:sz w:val="22"/>
          <w:szCs w:val="22"/>
        </w:rPr>
      </w:pPr>
    </w:p>
    <w:p w14:paraId="14964DDC" w14:textId="3F294835" w:rsidR="00E63F35" w:rsidRDefault="00E63F35" w:rsidP="00E63F35">
      <w:pPr>
        <w:pStyle w:val="Prrafodelista"/>
        <w:numPr>
          <w:ilvl w:val="0"/>
          <w:numId w:val="12"/>
        </w:numPr>
        <w:ind w:left="567" w:hanging="207"/>
        <w:jc w:val="both"/>
        <w:rPr>
          <w:rFonts w:ascii="Arial" w:hAnsi="Arial" w:cs="Arial"/>
          <w:color w:val="000000"/>
          <w:sz w:val="22"/>
          <w:szCs w:val="22"/>
        </w:rPr>
      </w:pPr>
      <w:r w:rsidRPr="0074288A">
        <w:rPr>
          <w:rFonts w:ascii="Arial" w:hAnsi="Arial" w:cs="Arial"/>
          <w:color w:val="000000"/>
          <w:sz w:val="22"/>
          <w:szCs w:val="22"/>
        </w:rPr>
        <w:t xml:space="preserve">La multiplicación del precio justo de intercambio (valor razonable) del componente no derivado por el </w:t>
      </w:r>
      <w:r w:rsidR="004677E7" w:rsidRPr="0074288A">
        <w:rPr>
          <w:rFonts w:ascii="Arial" w:hAnsi="Arial" w:cs="Arial"/>
          <w:color w:val="000000"/>
          <w:sz w:val="22"/>
          <w:szCs w:val="22"/>
        </w:rPr>
        <w:t xml:space="preserve">factor </w:t>
      </w:r>
      <w:r w:rsidRPr="0074288A">
        <w:rPr>
          <w:rFonts w:ascii="Arial" w:hAnsi="Arial" w:cs="Arial"/>
          <w:color w:val="000000"/>
          <w:sz w:val="22"/>
          <w:szCs w:val="22"/>
        </w:rPr>
        <w:t xml:space="preserve">de ponderación que aplique al respectivo emisor, de conformidad con lo previsto en artículo </w:t>
      </w:r>
      <w:r w:rsidR="004677E7" w:rsidRPr="0074288A">
        <w:rPr>
          <w:rFonts w:ascii="Arial" w:hAnsi="Arial" w:cs="Arial"/>
          <w:color w:val="000000"/>
          <w:sz w:val="22"/>
          <w:szCs w:val="22"/>
        </w:rPr>
        <w:t>2.9.1.1.11</w:t>
      </w:r>
      <w:r w:rsidRPr="0074288A">
        <w:rPr>
          <w:rFonts w:ascii="Arial" w:hAnsi="Arial" w:cs="Arial"/>
          <w:color w:val="000000"/>
          <w:sz w:val="22"/>
          <w:szCs w:val="22"/>
        </w:rPr>
        <w:t xml:space="preserve"> del Decreto 2555 de 2010.</w:t>
      </w:r>
    </w:p>
    <w:p w14:paraId="2DC3F93D" w14:textId="77777777" w:rsidR="008A5164" w:rsidRDefault="008A5164" w:rsidP="008A5164">
      <w:pPr>
        <w:pStyle w:val="Prrafodelista"/>
        <w:ind w:left="567"/>
        <w:jc w:val="both"/>
        <w:rPr>
          <w:rFonts w:ascii="Arial" w:hAnsi="Arial" w:cs="Arial"/>
          <w:color w:val="000000"/>
          <w:sz w:val="22"/>
          <w:szCs w:val="22"/>
        </w:rPr>
      </w:pPr>
    </w:p>
    <w:p w14:paraId="6CB4A7C7" w14:textId="2ABE9DC0" w:rsidR="00563C27" w:rsidRPr="0097568E" w:rsidRDefault="007A1B11" w:rsidP="0097568E">
      <w:pPr>
        <w:pStyle w:val="Prrafodelista"/>
        <w:numPr>
          <w:ilvl w:val="0"/>
          <w:numId w:val="12"/>
        </w:numPr>
        <w:ind w:left="567" w:hanging="207"/>
        <w:jc w:val="both"/>
        <w:rPr>
          <w:rFonts w:ascii="Arial" w:hAnsi="Arial" w:cs="Arial"/>
          <w:color w:val="000000"/>
          <w:sz w:val="22"/>
          <w:szCs w:val="22"/>
        </w:rPr>
      </w:pPr>
      <w:r w:rsidRPr="007A1B11">
        <w:rPr>
          <w:rFonts w:ascii="Arial" w:hAnsi="Arial" w:cs="Arial"/>
          <w:color w:val="000000"/>
          <w:sz w:val="22"/>
          <w:szCs w:val="22"/>
        </w:rPr>
        <w:t>Para el caso de las SCBV, SAI, SF y SAFP la multiplicación de la EC de los componentes derivados por el factor de ponderación que aplique a la respectiva contraparte.</w:t>
      </w:r>
    </w:p>
    <w:sectPr w:rsidR="00563C27" w:rsidRPr="0097568E" w:rsidSect="00416C18">
      <w:headerReference w:type="default" r:id="rId13"/>
      <w:footerReference w:type="default" r:id="rId14"/>
      <w:headerReference w:type="first" r:id="rId15"/>
      <w:footerReference w:type="first" r:id="rId16"/>
      <w:pgSz w:w="12242" w:h="18722" w:code="14"/>
      <w:pgMar w:top="1418" w:right="1701" w:bottom="1418" w:left="1701" w:header="709" w:footer="709" w:gutter="0"/>
      <w:paperSrc w:first="2" w:other="2"/>
      <w:pgNumType w:start="5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58C5A" w14:textId="77777777" w:rsidR="00EB10AB" w:rsidRDefault="00EB10AB">
      <w:r>
        <w:separator/>
      </w:r>
    </w:p>
  </w:endnote>
  <w:endnote w:type="continuationSeparator" w:id="0">
    <w:p w14:paraId="7E82EE0F" w14:textId="77777777" w:rsidR="00EB10AB" w:rsidRDefault="00EB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7855" w14:textId="15F355BC" w:rsidR="00A72BE1" w:rsidRPr="00532447" w:rsidRDefault="00A72BE1" w:rsidP="00FA21C6">
    <w:pPr>
      <w:pStyle w:val="Piedepgina"/>
      <w:tabs>
        <w:tab w:val="clear" w:pos="8504"/>
        <w:tab w:val="right" w:pos="9356"/>
      </w:tabs>
      <w:rPr>
        <w:sz w:val="18"/>
      </w:rPr>
    </w:pPr>
    <w:r w:rsidRPr="00532447">
      <w:rPr>
        <w:rFonts w:ascii="Arial" w:hAnsi="Arial"/>
        <w:b/>
        <w:sz w:val="18"/>
      </w:rPr>
      <w:t>Circular</w:t>
    </w:r>
    <w:r w:rsidR="00EE18C0">
      <w:rPr>
        <w:rFonts w:ascii="Arial" w:hAnsi="Arial"/>
        <w:b/>
        <w:sz w:val="18"/>
      </w:rPr>
      <w:t xml:space="preserve"> Externa </w:t>
    </w:r>
    <w:r w:rsidR="00261406">
      <w:rPr>
        <w:rFonts w:ascii="Arial" w:hAnsi="Arial"/>
        <w:b/>
        <w:sz w:val="18"/>
      </w:rPr>
      <w:t>018</w:t>
    </w:r>
    <w:r w:rsidR="00EE18C0">
      <w:rPr>
        <w:rFonts w:ascii="Arial" w:hAnsi="Arial"/>
        <w:b/>
        <w:sz w:val="18"/>
      </w:rPr>
      <w:t xml:space="preserve"> de 2020</w:t>
    </w:r>
    <w:r>
      <w:rPr>
        <w:rFonts w:ascii="Arial" w:hAnsi="Arial"/>
        <w:b/>
        <w:sz w:val="18"/>
      </w:rPr>
      <w:tab/>
    </w:r>
    <w:r>
      <w:rPr>
        <w:rFonts w:ascii="Arial" w:hAnsi="Arial"/>
        <w:b/>
        <w:sz w:val="18"/>
      </w:rPr>
      <w:tab/>
    </w:r>
    <w:proofErr w:type="gramStart"/>
    <w:r w:rsidR="0087336E">
      <w:rPr>
        <w:rFonts w:ascii="Arial" w:hAnsi="Arial"/>
        <w:b/>
        <w:sz w:val="18"/>
      </w:rPr>
      <w:t>Mayo</w:t>
    </w:r>
    <w:proofErr w:type="gramEnd"/>
    <w:r w:rsidR="00EE18C0">
      <w:rPr>
        <w:rFonts w:ascii="Arial" w:hAnsi="Arial"/>
        <w:b/>
        <w:sz w:val="18"/>
      </w:rPr>
      <w:t xml:space="preserve"> de 2020</w:t>
    </w:r>
  </w:p>
  <w:p w14:paraId="602B498A" w14:textId="77777777" w:rsidR="00A72BE1" w:rsidRDefault="00A72BE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6A29" w14:textId="4F27AE8B" w:rsidR="008D61AF" w:rsidRPr="00BE503E" w:rsidRDefault="00AE4931">
    <w:pPr>
      <w:pStyle w:val="Piedepgina"/>
      <w:rPr>
        <w:rFonts w:ascii="Arial" w:hAnsi="Arial" w:cs="Arial"/>
        <w:b/>
        <w:bCs/>
        <w:sz w:val="20"/>
        <w:szCs w:val="20"/>
        <w:lang w:val="es-MX"/>
      </w:rPr>
    </w:pPr>
    <w:r w:rsidRPr="00BE503E">
      <w:rPr>
        <w:rFonts w:ascii="Arial" w:hAnsi="Arial" w:cs="Arial"/>
        <w:b/>
        <w:bCs/>
        <w:sz w:val="20"/>
        <w:szCs w:val="20"/>
        <w:lang w:val="es-MX"/>
      </w:rPr>
      <w:t xml:space="preserve">Circular Externa </w:t>
    </w:r>
    <w:r w:rsidR="001B6EA3">
      <w:rPr>
        <w:rFonts w:ascii="Arial" w:hAnsi="Arial" w:cs="Arial"/>
        <w:b/>
        <w:bCs/>
        <w:sz w:val="20"/>
        <w:szCs w:val="20"/>
        <w:lang w:val="es-MX"/>
      </w:rPr>
      <w:t>019</w:t>
    </w:r>
    <w:r w:rsidRPr="00BE503E">
      <w:rPr>
        <w:rFonts w:ascii="Arial" w:hAnsi="Arial" w:cs="Arial"/>
        <w:b/>
        <w:bCs/>
        <w:sz w:val="20"/>
        <w:szCs w:val="20"/>
        <w:lang w:val="es-MX"/>
      </w:rPr>
      <w:t xml:space="preserve"> de 2022                                                                        </w:t>
    </w:r>
    <w:r w:rsidR="00BE503E">
      <w:rPr>
        <w:rFonts w:ascii="Arial" w:hAnsi="Arial" w:cs="Arial"/>
        <w:b/>
        <w:bCs/>
        <w:sz w:val="20"/>
        <w:szCs w:val="20"/>
        <w:lang w:val="es-MX"/>
      </w:rPr>
      <w:t xml:space="preserve">              </w:t>
    </w:r>
    <w:r w:rsidRPr="00BE503E">
      <w:rPr>
        <w:rFonts w:ascii="Arial" w:hAnsi="Arial" w:cs="Arial"/>
        <w:b/>
        <w:bCs/>
        <w:sz w:val="20"/>
        <w:szCs w:val="20"/>
        <w:lang w:val="es-MX"/>
      </w:rPr>
      <w:t xml:space="preserve">     Julio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19CE" w14:textId="77777777" w:rsidR="00EB10AB" w:rsidRDefault="00EB10AB">
      <w:r>
        <w:separator/>
      </w:r>
    </w:p>
  </w:footnote>
  <w:footnote w:type="continuationSeparator" w:id="0">
    <w:p w14:paraId="0FC607C3" w14:textId="77777777" w:rsidR="00EB10AB" w:rsidRDefault="00EB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67E4" w14:textId="77777777" w:rsidR="00673978" w:rsidRPr="0036718E" w:rsidRDefault="00673978" w:rsidP="00A339F1">
    <w:pPr>
      <w:pStyle w:val="Encabezado"/>
      <w:jc w:val="center"/>
      <w:rPr>
        <w:rFonts w:ascii="Arial" w:hAnsi="Arial"/>
        <w:b/>
        <w:sz w:val="22"/>
        <w:szCs w:val="22"/>
      </w:rPr>
    </w:pPr>
    <w:r w:rsidRPr="0036718E">
      <w:rPr>
        <w:rFonts w:ascii="Arial" w:hAnsi="Arial"/>
        <w:b/>
        <w:sz w:val="22"/>
        <w:szCs w:val="22"/>
      </w:rPr>
      <w:t>SUPERINTENDENCIA FINANCIERA DE COLOMBIA</w:t>
    </w:r>
  </w:p>
  <w:p w14:paraId="27C97750" w14:textId="77777777" w:rsidR="00673978" w:rsidRPr="0036718E" w:rsidRDefault="00673978" w:rsidP="00A339F1">
    <w:pPr>
      <w:pStyle w:val="Encabezado"/>
      <w:rPr>
        <w:rFonts w:ascii="Arial" w:hAnsi="Arial"/>
        <w:b/>
        <w:sz w:val="22"/>
        <w:szCs w:val="22"/>
      </w:rPr>
    </w:pPr>
  </w:p>
  <w:p w14:paraId="76F2F799" w14:textId="77777777" w:rsidR="00673978" w:rsidRPr="0036718E" w:rsidRDefault="00673978" w:rsidP="00A339F1">
    <w:pPr>
      <w:pStyle w:val="Encabezado"/>
      <w:rPr>
        <w:rFonts w:ascii="Arial" w:hAnsi="Arial"/>
        <w:b/>
        <w:sz w:val="22"/>
        <w:szCs w:val="22"/>
      </w:rPr>
    </w:pPr>
    <w:r w:rsidRPr="0036718E">
      <w:rPr>
        <w:rFonts w:ascii="Arial" w:hAnsi="Arial"/>
        <w:b/>
        <w:sz w:val="22"/>
        <w:szCs w:val="22"/>
      </w:rPr>
      <w:t>CAPITULO XIII - CONTROLES DE LEY</w:t>
    </w:r>
  </w:p>
  <w:p w14:paraId="6211A9FB" w14:textId="75CBF50A" w:rsidR="00673978" w:rsidRPr="0036718E" w:rsidRDefault="00673978" w:rsidP="00A339F1">
    <w:pPr>
      <w:pStyle w:val="Encabezado"/>
      <w:rPr>
        <w:sz w:val="22"/>
        <w:szCs w:val="22"/>
      </w:rPr>
    </w:pPr>
    <w:r w:rsidRPr="0036718E">
      <w:rPr>
        <w:rFonts w:ascii="Arial" w:hAnsi="Arial"/>
        <w:b/>
        <w:sz w:val="22"/>
        <w:szCs w:val="22"/>
      </w:rPr>
      <w:t xml:space="preserve">Página </w:t>
    </w:r>
    <w:r>
      <w:rPr>
        <w:rStyle w:val="Nmerodepgina"/>
        <w:rFonts w:ascii="Arial" w:hAnsi="Arial" w:cs="Arial"/>
        <w:b/>
        <w:sz w:val="22"/>
        <w:szCs w:val="22"/>
      </w:rPr>
      <w:t>5</w:t>
    </w:r>
    <w:r w:rsidR="007A1B11">
      <w:rPr>
        <w:rStyle w:val="Nmerodepgina"/>
        <w:rFonts w:ascii="Arial" w:hAnsi="Arial" w:cs="Arial"/>
        <w:b/>
        <w:sz w:val="22"/>
        <w:szCs w:val="22"/>
      </w:rPr>
      <w:t>3</w:t>
    </w:r>
  </w:p>
  <w:p w14:paraId="5AB2F6B2" w14:textId="77777777" w:rsidR="00673978" w:rsidRDefault="0067397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539F4" w14:textId="2D29C9E4" w:rsidR="00416C18" w:rsidRDefault="00A41E6C">
    <w:pPr>
      <w:pStyle w:val="Encabezado"/>
      <w:rPr>
        <w:rFonts w:ascii="Arial" w:hAnsi="Arial" w:cs="Arial"/>
        <w:b/>
        <w:bCs/>
        <w:sz w:val="22"/>
        <w:szCs w:val="22"/>
        <w:lang w:val="es-MX"/>
      </w:rPr>
    </w:pPr>
    <w:r w:rsidRPr="00A8363E">
      <w:rPr>
        <w:rFonts w:ascii="Arial" w:hAnsi="Arial" w:cs="Arial"/>
        <w:b/>
        <w:bCs/>
        <w:sz w:val="22"/>
        <w:szCs w:val="22"/>
        <w:lang w:val="es-MX"/>
      </w:rPr>
      <w:t>CAPÍTULO XIII – CONTROLES DE LEY</w:t>
    </w:r>
  </w:p>
  <w:p w14:paraId="37330A58" w14:textId="5D3D1723" w:rsidR="00A8363E" w:rsidRPr="00A8363E" w:rsidRDefault="00A8363E">
    <w:pPr>
      <w:pStyle w:val="Encabezado"/>
      <w:rPr>
        <w:rFonts w:ascii="Arial" w:hAnsi="Arial" w:cs="Arial"/>
        <w:b/>
        <w:bCs/>
        <w:sz w:val="22"/>
        <w:szCs w:val="22"/>
        <w:lang w:val="es-MX"/>
      </w:rPr>
    </w:pPr>
    <w:r>
      <w:rPr>
        <w:rFonts w:ascii="Arial" w:hAnsi="Arial" w:cs="Arial"/>
        <w:b/>
        <w:bCs/>
        <w:sz w:val="22"/>
        <w:szCs w:val="22"/>
        <w:lang w:val="es-MX"/>
      </w:rPr>
      <w:t>PÁGINA</w:t>
    </w:r>
    <w:r w:rsidR="000A7B7F">
      <w:rPr>
        <w:rFonts w:ascii="Arial" w:hAnsi="Arial" w:cs="Arial"/>
        <w:b/>
        <w:bCs/>
        <w:sz w:val="22"/>
        <w:szCs w:val="22"/>
        <w:lang w:val="es-MX"/>
      </w:rPr>
      <w:t xml:space="preserve"> 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6DAF"/>
    <w:multiLevelType w:val="hybridMultilevel"/>
    <w:tmpl w:val="F05CA1B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2CD5880"/>
    <w:multiLevelType w:val="hybridMultilevel"/>
    <w:tmpl w:val="9DEAB020"/>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37E50353"/>
    <w:multiLevelType w:val="multilevel"/>
    <w:tmpl w:val="830CF1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1C847B9"/>
    <w:multiLevelType w:val="multilevel"/>
    <w:tmpl w:val="A8B80386"/>
    <w:lvl w:ilvl="0">
      <w:start w:val="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9382455"/>
    <w:multiLevelType w:val="hybridMultilevel"/>
    <w:tmpl w:val="20968F4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E0B4EF4"/>
    <w:multiLevelType w:val="hybridMultilevel"/>
    <w:tmpl w:val="A8E8424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F8F7611"/>
    <w:multiLevelType w:val="multilevel"/>
    <w:tmpl w:val="91ACE516"/>
    <w:lvl w:ilvl="0">
      <w:start w:val="2"/>
      <w:numFmt w:val="decimal"/>
      <w:lvlText w:val="%1"/>
      <w:lvlJc w:val="left"/>
      <w:pPr>
        <w:ind w:left="360" w:hanging="360"/>
      </w:pPr>
      <w:rPr>
        <w:rFonts w:ascii="Arial" w:hAnsi="Arial" w:cs="Arial" w:hint="default"/>
        <w:sz w:val="22"/>
      </w:rPr>
    </w:lvl>
    <w:lvl w:ilvl="1">
      <w:start w:val="2"/>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7" w15:restartNumberingAfterBreak="0">
    <w:nsid w:val="59253041"/>
    <w:multiLevelType w:val="multilevel"/>
    <w:tmpl w:val="EA545BEC"/>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B1D30CA"/>
    <w:multiLevelType w:val="multilevel"/>
    <w:tmpl w:val="B3F2EB70"/>
    <w:lvl w:ilvl="0">
      <w:start w:val="1"/>
      <w:numFmt w:val="decimal"/>
      <w:pStyle w:val="Titulo2"/>
      <w:lvlText w:val="%1."/>
      <w:lvlJc w:val="left"/>
      <w:pPr>
        <w:tabs>
          <w:tab w:val="num" w:pos="786"/>
        </w:tabs>
        <w:ind w:left="426" w:firstLine="0"/>
      </w:pPr>
      <w:rPr>
        <w:rFonts w:ascii="Arial" w:hAnsi="Arial" w:hint="default"/>
        <w:b/>
        <w:i w:val="0"/>
        <w:sz w:val="24"/>
      </w:rPr>
    </w:lvl>
    <w:lvl w:ilvl="1">
      <w:start w:val="1"/>
      <w:numFmt w:val="decimal"/>
      <w:pStyle w:val="Titulo"/>
      <w:lvlText w:val="%1.%2."/>
      <w:lvlJc w:val="left"/>
      <w:pPr>
        <w:tabs>
          <w:tab w:val="num" w:pos="360"/>
        </w:tabs>
        <w:ind w:left="360" w:hanging="360"/>
      </w:pPr>
      <w:rPr>
        <w:rFonts w:ascii="Arial" w:hAnsi="Arial" w:cs="Arial" w:hint="default"/>
        <w:b/>
        <w:sz w:val="22"/>
        <w:szCs w:val="22"/>
      </w:rPr>
    </w:lvl>
    <w:lvl w:ilvl="2">
      <w:start w:val="1"/>
      <w:numFmt w:val="decimal"/>
      <w:lvlText w:val="%1.%2.%3"/>
      <w:lvlJc w:val="left"/>
      <w:pPr>
        <w:tabs>
          <w:tab w:val="num" w:pos="720"/>
        </w:tabs>
        <w:ind w:left="0" w:firstLine="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68456AE6"/>
    <w:multiLevelType w:val="hybridMultilevel"/>
    <w:tmpl w:val="7DDE296A"/>
    <w:lvl w:ilvl="0" w:tplc="9154C07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F9C7541"/>
    <w:multiLevelType w:val="hybridMultilevel"/>
    <w:tmpl w:val="C97E919E"/>
    <w:lvl w:ilvl="0" w:tplc="FEAEEC3A">
      <w:start w:val="1"/>
      <w:numFmt w:val="low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371DE0"/>
    <w:multiLevelType w:val="multilevel"/>
    <w:tmpl w:val="04EC4DD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8"/>
  </w:num>
  <w:num w:numId="2">
    <w:abstractNumId w:val="8"/>
    <w:lvlOverride w:ilvl="0">
      <w:startOverride w:val="2"/>
    </w:lvlOverride>
    <w:lvlOverride w:ilvl="1">
      <w:startOverride w:val="2"/>
    </w:lvlOverride>
  </w:num>
  <w:num w:numId="3">
    <w:abstractNumId w:val="2"/>
  </w:num>
  <w:num w:numId="4">
    <w:abstractNumId w:val="4"/>
  </w:num>
  <w:num w:numId="5">
    <w:abstractNumId w:val="5"/>
  </w:num>
  <w:num w:numId="6">
    <w:abstractNumId w:val="8"/>
  </w:num>
  <w:num w:numId="7">
    <w:abstractNumId w:val="10"/>
  </w:num>
  <w:num w:numId="8">
    <w:abstractNumId w:val="6"/>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3"/>
    </w:lvlOverride>
  </w:num>
  <w:num w:numId="11">
    <w:abstractNumId w:val="1"/>
  </w:num>
  <w:num w:numId="12">
    <w:abstractNumId w:val="9"/>
  </w:num>
  <w:num w:numId="13">
    <w:abstractNumId w:val="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8"/>
  </w:num>
  <w:num w:numId="18">
    <w:abstractNumId w:val="8"/>
  </w:num>
  <w:num w:numId="19">
    <w:abstractNumId w:val="7"/>
  </w:num>
  <w:num w:numId="20">
    <w:abstractNumId w:val="11"/>
  </w:num>
  <w:num w:numId="21">
    <w:abstractNumId w:val="8"/>
    <w:lvlOverride w:ilvl="0">
      <w:startOverride w:val="4"/>
    </w:lvlOverride>
  </w:num>
  <w:num w:numId="22">
    <w:abstractNumId w:val="8"/>
  </w:num>
  <w:num w:numId="23">
    <w:abstractNumId w:val="8"/>
    <w:lvlOverride w:ilvl="0">
      <w:startOverride w:val="4"/>
    </w:lvlOverride>
  </w:num>
  <w:num w:numId="24">
    <w:abstractNumId w:val="8"/>
    <w:lvlOverride w:ilvl="0">
      <w:startOverride w:val="4"/>
    </w:lvlOverride>
  </w:num>
  <w:num w:numId="25">
    <w:abstractNumId w:val="8"/>
    <w:lvlOverride w:ilvl="0">
      <w:startOverride w:val="4"/>
    </w:lvlOverride>
  </w:num>
  <w:num w:numId="26">
    <w:abstractNumId w:val="8"/>
    <w:lvlOverride w:ilvl="0">
      <w:startOverride w:val="4"/>
    </w:lvlOverride>
  </w:num>
  <w:num w:numId="27">
    <w:abstractNumId w:val="8"/>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1"/>
  <w:activeWritingStyle w:appName="MSWord" w:lang="es-MX" w:vendorID="64" w:dllVersion="6" w:nlCheck="1" w:checkStyle="0"/>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s-ES_tradnl" w:vendorID="64" w:dllVersion="6" w:nlCheck="1" w:checkStyle="1"/>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0CC"/>
    <w:rsid w:val="0000420D"/>
    <w:rsid w:val="00011B63"/>
    <w:rsid w:val="00012466"/>
    <w:rsid w:val="00012C1F"/>
    <w:rsid w:val="000273CB"/>
    <w:rsid w:val="00035CC5"/>
    <w:rsid w:val="000367F8"/>
    <w:rsid w:val="00056CD5"/>
    <w:rsid w:val="00063664"/>
    <w:rsid w:val="00064392"/>
    <w:rsid w:val="00075C6A"/>
    <w:rsid w:val="000846A6"/>
    <w:rsid w:val="00086136"/>
    <w:rsid w:val="00092911"/>
    <w:rsid w:val="00093C5F"/>
    <w:rsid w:val="00094306"/>
    <w:rsid w:val="000A7B7F"/>
    <w:rsid w:val="000B194D"/>
    <w:rsid w:val="000B454D"/>
    <w:rsid w:val="000C1734"/>
    <w:rsid w:val="000C464F"/>
    <w:rsid w:val="000C6884"/>
    <w:rsid w:val="000D3775"/>
    <w:rsid w:val="000E735C"/>
    <w:rsid w:val="000F153F"/>
    <w:rsid w:val="00102714"/>
    <w:rsid w:val="00106E66"/>
    <w:rsid w:val="00107B86"/>
    <w:rsid w:val="00107F7F"/>
    <w:rsid w:val="001106B5"/>
    <w:rsid w:val="00112E6F"/>
    <w:rsid w:val="00120A20"/>
    <w:rsid w:val="00121058"/>
    <w:rsid w:val="001219C0"/>
    <w:rsid w:val="00123389"/>
    <w:rsid w:val="00133B5D"/>
    <w:rsid w:val="00137A0F"/>
    <w:rsid w:val="0014120F"/>
    <w:rsid w:val="00141ED8"/>
    <w:rsid w:val="001454A1"/>
    <w:rsid w:val="00147CB1"/>
    <w:rsid w:val="00152A55"/>
    <w:rsid w:val="001573D6"/>
    <w:rsid w:val="001738F0"/>
    <w:rsid w:val="00174E45"/>
    <w:rsid w:val="00183E1E"/>
    <w:rsid w:val="001847D1"/>
    <w:rsid w:val="001877BF"/>
    <w:rsid w:val="00190DC9"/>
    <w:rsid w:val="00192D21"/>
    <w:rsid w:val="001932F5"/>
    <w:rsid w:val="00194B52"/>
    <w:rsid w:val="0019713C"/>
    <w:rsid w:val="001B025F"/>
    <w:rsid w:val="001B2633"/>
    <w:rsid w:val="001B4BD3"/>
    <w:rsid w:val="001B5AE1"/>
    <w:rsid w:val="001B6EA3"/>
    <w:rsid w:val="001C0E34"/>
    <w:rsid w:val="001C4FF2"/>
    <w:rsid w:val="001C6FA1"/>
    <w:rsid w:val="001D04E6"/>
    <w:rsid w:val="001D67CA"/>
    <w:rsid w:val="001E1ED4"/>
    <w:rsid w:val="001E3CE2"/>
    <w:rsid w:val="001E7C83"/>
    <w:rsid w:val="001F3F11"/>
    <w:rsid w:val="002038A8"/>
    <w:rsid w:val="00205199"/>
    <w:rsid w:val="00207FA6"/>
    <w:rsid w:val="00261406"/>
    <w:rsid w:val="00261CB1"/>
    <w:rsid w:val="00261D75"/>
    <w:rsid w:val="00264735"/>
    <w:rsid w:val="00266FBF"/>
    <w:rsid w:val="00270B2D"/>
    <w:rsid w:val="00271B7F"/>
    <w:rsid w:val="00276772"/>
    <w:rsid w:val="002840CE"/>
    <w:rsid w:val="0029189E"/>
    <w:rsid w:val="00292AF4"/>
    <w:rsid w:val="00296F90"/>
    <w:rsid w:val="002C2AA2"/>
    <w:rsid w:val="002C6DA0"/>
    <w:rsid w:val="002D1425"/>
    <w:rsid w:val="002E19B2"/>
    <w:rsid w:val="002E4A8F"/>
    <w:rsid w:val="002F1B70"/>
    <w:rsid w:val="003018E2"/>
    <w:rsid w:val="003027AD"/>
    <w:rsid w:val="00305817"/>
    <w:rsid w:val="00310463"/>
    <w:rsid w:val="00312B16"/>
    <w:rsid w:val="0031775B"/>
    <w:rsid w:val="00320F43"/>
    <w:rsid w:val="00327C22"/>
    <w:rsid w:val="00333F20"/>
    <w:rsid w:val="003451B5"/>
    <w:rsid w:val="0034659A"/>
    <w:rsid w:val="00347F77"/>
    <w:rsid w:val="0035144F"/>
    <w:rsid w:val="003521FA"/>
    <w:rsid w:val="00352CE3"/>
    <w:rsid w:val="0036718E"/>
    <w:rsid w:val="00373B9F"/>
    <w:rsid w:val="00380B7E"/>
    <w:rsid w:val="00381C7F"/>
    <w:rsid w:val="003831A3"/>
    <w:rsid w:val="00386A86"/>
    <w:rsid w:val="003947C2"/>
    <w:rsid w:val="00396367"/>
    <w:rsid w:val="003975AE"/>
    <w:rsid w:val="00397B00"/>
    <w:rsid w:val="00397D2B"/>
    <w:rsid w:val="003A0276"/>
    <w:rsid w:val="003A3217"/>
    <w:rsid w:val="003B02DC"/>
    <w:rsid w:val="003B1071"/>
    <w:rsid w:val="003B6FCD"/>
    <w:rsid w:val="003D778D"/>
    <w:rsid w:val="003E133D"/>
    <w:rsid w:val="003F79ED"/>
    <w:rsid w:val="0040073C"/>
    <w:rsid w:val="00401361"/>
    <w:rsid w:val="00401A67"/>
    <w:rsid w:val="00405F78"/>
    <w:rsid w:val="00406EEE"/>
    <w:rsid w:val="004148E1"/>
    <w:rsid w:val="004167A9"/>
    <w:rsid w:val="00416C18"/>
    <w:rsid w:val="004173AD"/>
    <w:rsid w:val="00417641"/>
    <w:rsid w:val="004205A2"/>
    <w:rsid w:val="004216E8"/>
    <w:rsid w:val="00427AD9"/>
    <w:rsid w:val="004314DB"/>
    <w:rsid w:val="00434F19"/>
    <w:rsid w:val="004412E8"/>
    <w:rsid w:val="00443573"/>
    <w:rsid w:val="00443AA1"/>
    <w:rsid w:val="00444061"/>
    <w:rsid w:val="00444B99"/>
    <w:rsid w:val="0045252B"/>
    <w:rsid w:val="00455B60"/>
    <w:rsid w:val="0046158F"/>
    <w:rsid w:val="0046372E"/>
    <w:rsid w:val="004677E7"/>
    <w:rsid w:val="00474AE5"/>
    <w:rsid w:val="00476284"/>
    <w:rsid w:val="0048575A"/>
    <w:rsid w:val="0049270F"/>
    <w:rsid w:val="004A3E15"/>
    <w:rsid w:val="004A67EB"/>
    <w:rsid w:val="004B6836"/>
    <w:rsid w:val="004B7BE7"/>
    <w:rsid w:val="004C572E"/>
    <w:rsid w:val="004C760C"/>
    <w:rsid w:val="004C7D6E"/>
    <w:rsid w:val="004D0EA0"/>
    <w:rsid w:val="004D2DA9"/>
    <w:rsid w:val="004E1D0A"/>
    <w:rsid w:val="004F1BD9"/>
    <w:rsid w:val="004F4C54"/>
    <w:rsid w:val="005131C6"/>
    <w:rsid w:val="0051491D"/>
    <w:rsid w:val="00516A3B"/>
    <w:rsid w:val="005209D0"/>
    <w:rsid w:val="005229BE"/>
    <w:rsid w:val="00526D58"/>
    <w:rsid w:val="00530076"/>
    <w:rsid w:val="00532539"/>
    <w:rsid w:val="0053728B"/>
    <w:rsid w:val="0053775C"/>
    <w:rsid w:val="00537E1D"/>
    <w:rsid w:val="0054671F"/>
    <w:rsid w:val="005525BB"/>
    <w:rsid w:val="005532C7"/>
    <w:rsid w:val="005556CB"/>
    <w:rsid w:val="00556A42"/>
    <w:rsid w:val="0056043A"/>
    <w:rsid w:val="00563C27"/>
    <w:rsid w:val="00564954"/>
    <w:rsid w:val="005651B3"/>
    <w:rsid w:val="00565A88"/>
    <w:rsid w:val="00565B0A"/>
    <w:rsid w:val="00572C5B"/>
    <w:rsid w:val="005755A9"/>
    <w:rsid w:val="00584321"/>
    <w:rsid w:val="00590D09"/>
    <w:rsid w:val="00596C20"/>
    <w:rsid w:val="005A1378"/>
    <w:rsid w:val="005A323C"/>
    <w:rsid w:val="005A47AA"/>
    <w:rsid w:val="005B31D0"/>
    <w:rsid w:val="005B627F"/>
    <w:rsid w:val="005C0FA5"/>
    <w:rsid w:val="005C1114"/>
    <w:rsid w:val="005C240D"/>
    <w:rsid w:val="005C5C5E"/>
    <w:rsid w:val="005D24CD"/>
    <w:rsid w:val="005D391A"/>
    <w:rsid w:val="005D6123"/>
    <w:rsid w:val="005E2FFF"/>
    <w:rsid w:val="005E4F9F"/>
    <w:rsid w:val="005E636D"/>
    <w:rsid w:val="005F3569"/>
    <w:rsid w:val="005F3FA9"/>
    <w:rsid w:val="005F4639"/>
    <w:rsid w:val="00603974"/>
    <w:rsid w:val="00611338"/>
    <w:rsid w:val="00614E75"/>
    <w:rsid w:val="00623583"/>
    <w:rsid w:val="00624AA9"/>
    <w:rsid w:val="006335E9"/>
    <w:rsid w:val="0063467F"/>
    <w:rsid w:val="006403EE"/>
    <w:rsid w:val="00641472"/>
    <w:rsid w:val="006429CC"/>
    <w:rsid w:val="00650E77"/>
    <w:rsid w:val="00653A3B"/>
    <w:rsid w:val="006555C3"/>
    <w:rsid w:val="0065592B"/>
    <w:rsid w:val="006565AA"/>
    <w:rsid w:val="006570C4"/>
    <w:rsid w:val="00660548"/>
    <w:rsid w:val="00660893"/>
    <w:rsid w:val="0066426B"/>
    <w:rsid w:val="00666AA7"/>
    <w:rsid w:val="006676C7"/>
    <w:rsid w:val="00673978"/>
    <w:rsid w:val="00677927"/>
    <w:rsid w:val="00694564"/>
    <w:rsid w:val="006951C4"/>
    <w:rsid w:val="00697007"/>
    <w:rsid w:val="006A5E1B"/>
    <w:rsid w:val="006B2FF8"/>
    <w:rsid w:val="006B3638"/>
    <w:rsid w:val="006B39BE"/>
    <w:rsid w:val="006B5B56"/>
    <w:rsid w:val="006C3416"/>
    <w:rsid w:val="006D401B"/>
    <w:rsid w:val="006E3B8D"/>
    <w:rsid w:val="006E43B2"/>
    <w:rsid w:val="006E7447"/>
    <w:rsid w:val="006F127B"/>
    <w:rsid w:val="006F3323"/>
    <w:rsid w:val="006F3BA3"/>
    <w:rsid w:val="006F5EA7"/>
    <w:rsid w:val="00703FC3"/>
    <w:rsid w:val="00705FF4"/>
    <w:rsid w:val="00711A83"/>
    <w:rsid w:val="0071760D"/>
    <w:rsid w:val="00726159"/>
    <w:rsid w:val="00732B32"/>
    <w:rsid w:val="00732E2C"/>
    <w:rsid w:val="00734E60"/>
    <w:rsid w:val="007359F5"/>
    <w:rsid w:val="0073722F"/>
    <w:rsid w:val="00740D8B"/>
    <w:rsid w:val="00741E90"/>
    <w:rsid w:val="0074288A"/>
    <w:rsid w:val="0074415D"/>
    <w:rsid w:val="007615C3"/>
    <w:rsid w:val="00762275"/>
    <w:rsid w:val="00764F3B"/>
    <w:rsid w:val="007670C0"/>
    <w:rsid w:val="00772C48"/>
    <w:rsid w:val="00777C01"/>
    <w:rsid w:val="007819BA"/>
    <w:rsid w:val="007856FF"/>
    <w:rsid w:val="00785751"/>
    <w:rsid w:val="00792992"/>
    <w:rsid w:val="007968C7"/>
    <w:rsid w:val="007A0A3B"/>
    <w:rsid w:val="007A1B11"/>
    <w:rsid w:val="007A3F1B"/>
    <w:rsid w:val="007B3B5B"/>
    <w:rsid w:val="007B664E"/>
    <w:rsid w:val="007C0962"/>
    <w:rsid w:val="007C0B30"/>
    <w:rsid w:val="007D5ABD"/>
    <w:rsid w:val="007D6923"/>
    <w:rsid w:val="007E0C7B"/>
    <w:rsid w:val="007E78C7"/>
    <w:rsid w:val="007F0D53"/>
    <w:rsid w:val="007F4907"/>
    <w:rsid w:val="007F5B3B"/>
    <w:rsid w:val="008110AE"/>
    <w:rsid w:val="008179CA"/>
    <w:rsid w:val="00826966"/>
    <w:rsid w:val="00827915"/>
    <w:rsid w:val="00833A11"/>
    <w:rsid w:val="008367CF"/>
    <w:rsid w:val="00836ABE"/>
    <w:rsid w:val="008372C8"/>
    <w:rsid w:val="00841635"/>
    <w:rsid w:val="00843621"/>
    <w:rsid w:val="00847CEA"/>
    <w:rsid w:val="00847F64"/>
    <w:rsid w:val="008519C3"/>
    <w:rsid w:val="00853A99"/>
    <w:rsid w:val="00854038"/>
    <w:rsid w:val="00856CE9"/>
    <w:rsid w:val="00861F08"/>
    <w:rsid w:val="008636DD"/>
    <w:rsid w:val="0086699E"/>
    <w:rsid w:val="0087336E"/>
    <w:rsid w:val="008738F0"/>
    <w:rsid w:val="00896850"/>
    <w:rsid w:val="008A0C60"/>
    <w:rsid w:val="008A5164"/>
    <w:rsid w:val="008B2AB0"/>
    <w:rsid w:val="008B3049"/>
    <w:rsid w:val="008D61AF"/>
    <w:rsid w:val="008E406E"/>
    <w:rsid w:val="008F09C6"/>
    <w:rsid w:val="008F29FF"/>
    <w:rsid w:val="008F6046"/>
    <w:rsid w:val="00901333"/>
    <w:rsid w:val="00910402"/>
    <w:rsid w:val="00913622"/>
    <w:rsid w:val="009252FE"/>
    <w:rsid w:val="00936A49"/>
    <w:rsid w:val="009511E1"/>
    <w:rsid w:val="00954A9A"/>
    <w:rsid w:val="00955919"/>
    <w:rsid w:val="00962299"/>
    <w:rsid w:val="00974B13"/>
    <w:rsid w:val="0097568E"/>
    <w:rsid w:val="00977063"/>
    <w:rsid w:val="00977195"/>
    <w:rsid w:val="00981BBA"/>
    <w:rsid w:val="0099049D"/>
    <w:rsid w:val="00993753"/>
    <w:rsid w:val="009A1561"/>
    <w:rsid w:val="009A3D2D"/>
    <w:rsid w:val="009A5F25"/>
    <w:rsid w:val="009A6E10"/>
    <w:rsid w:val="009B50CC"/>
    <w:rsid w:val="009D4A07"/>
    <w:rsid w:val="009E040E"/>
    <w:rsid w:val="009E5968"/>
    <w:rsid w:val="009F19AF"/>
    <w:rsid w:val="009F3F19"/>
    <w:rsid w:val="00A048DC"/>
    <w:rsid w:val="00A05B76"/>
    <w:rsid w:val="00A068DB"/>
    <w:rsid w:val="00A06F1A"/>
    <w:rsid w:val="00A20692"/>
    <w:rsid w:val="00A23F24"/>
    <w:rsid w:val="00A25AF6"/>
    <w:rsid w:val="00A305C4"/>
    <w:rsid w:val="00A329B8"/>
    <w:rsid w:val="00A32FC8"/>
    <w:rsid w:val="00A333E2"/>
    <w:rsid w:val="00A339F1"/>
    <w:rsid w:val="00A36F0C"/>
    <w:rsid w:val="00A41E6C"/>
    <w:rsid w:val="00A45FEE"/>
    <w:rsid w:val="00A52187"/>
    <w:rsid w:val="00A6003B"/>
    <w:rsid w:val="00A63289"/>
    <w:rsid w:val="00A6412A"/>
    <w:rsid w:val="00A67E42"/>
    <w:rsid w:val="00A7235D"/>
    <w:rsid w:val="00A72BE1"/>
    <w:rsid w:val="00A8363E"/>
    <w:rsid w:val="00A9425A"/>
    <w:rsid w:val="00AB04AD"/>
    <w:rsid w:val="00AB14E7"/>
    <w:rsid w:val="00AB1D09"/>
    <w:rsid w:val="00AB355E"/>
    <w:rsid w:val="00AB6989"/>
    <w:rsid w:val="00AD1D1A"/>
    <w:rsid w:val="00AE281C"/>
    <w:rsid w:val="00AE3F65"/>
    <w:rsid w:val="00AE4931"/>
    <w:rsid w:val="00AE5702"/>
    <w:rsid w:val="00B01BC4"/>
    <w:rsid w:val="00B1435D"/>
    <w:rsid w:val="00B154D8"/>
    <w:rsid w:val="00B16B53"/>
    <w:rsid w:val="00B279F2"/>
    <w:rsid w:val="00B434FF"/>
    <w:rsid w:val="00B46D97"/>
    <w:rsid w:val="00B50810"/>
    <w:rsid w:val="00B54003"/>
    <w:rsid w:val="00B54EB4"/>
    <w:rsid w:val="00B552F5"/>
    <w:rsid w:val="00B5744D"/>
    <w:rsid w:val="00B60617"/>
    <w:rsid w:val="00B652D8"/>
    <w:rsid w:val="00B66597"/>
    <w:rsid w:val="00B67C90"/>
    <w:rsid w:val="00B80A8B"/>
    <w:rsid w:val="00B8316A"/>
    <w:rsid w:val="00B87206"/>
    <w:rsid w:val="00B875A2"/>
    <w:rsid w:val="00B87A55"/>
    <w:rsid w:val="00B930C3"/>
    <w:rsid w:val="00B93B29"/>
    <w:rsid w:val="00BA7AFB"/>
    <w:rsid w:val="00BC1812"/>
    <w:rsid w:val="00BC2B71"/>
    <w:rsid w:val="00BC54DA"/>
    <w:rsid w:val="00BC5981"/>
    <w:rsid w:val="00BE0C5E"/>
    <w:rsid w:val="00BE503E"/>
    <w:rsid w:val="00BF36D8"/>
    <w:rsid w:val="00BF5948"/>
    <w:rsid w:val="00C0063B"/>
    <w:rsid w:val="00C00B53"/>
    <w:rsid w:val="00C01DB7"/>
    <w:rsid w:val="00C0555B"/>
    <w:rsid w:val="00C05F52"/>
    <w:rsid w:val="00C06865"/>
    <w:rsid w:val="00C12C69"/>
    <w:rsid w:val="00C12CEC"/>
    <w:rsid w:val="00C23715"/>
    <w:rsid w:val="00C26CB2"/>
    <w:rsid w:val="00C309AE"/>
    <w:rsid w:val="00C32AEE"/>
    <w:rsid w:val="00C341C5"/>
    <w:rsid w:val="00C37397"/>
    <w:rsid w:val="00C4103E"/>
    <w:rsid w:val="00C43057"/>
    <w:rsid w:val="00C51631"/>
    <w:rsid w:val="00C546DE"/>
    <w:rsid w:val="00C558C0"/>
    <w:rsid w:val="00C70652"/>
    <w:rsid w:val="00C74CA2"/>
    <w:rsid w:val="00C87C3E"/>
    <w:rsid w:val="00C930BF"/>
    <w:rsid w:val="00C9350D"/>
    <w:rsid w:val="00C96D3D"/>
    <w:rsid w:val="00CA4CA0"/>
    <w:rsid w:val="00CA7885"/>
    <w:rsid w:val="00CB400C"/>
    <w:rsid w:val="00CC3CA9"/>
    <w:rsid w:val="00CC5EA7"/>
    <w:rsid w:val="00CD10E6"/>
    <w:rsid w:val="00CE4AA5"/>
    <w:rsid w:val="00CE64BF"/>
    <w:rsid w:val="00D01D1D"/>
    <w:rsid w:val="00D030BC"/>
    <w:rsid w:val="00D03A33"/>
    <w:rsid w:val="00D15B7F"/>
    <w:rsid w:val="00D16E0D"/>
    <w:rsid w:val="00D3047D"/>
    <w:rsid w:val="00D313AA"/>
    <w:rsid w:val="00D35466"/>
    <w:rsid w:val="00D40C4A"/>
    <w:rsid w:val="00D53DCC"/>
    <w:rsid w:val="00D65355"/>
    <w:rsid w:val="00D66C5A"/>
    <w:rsid w:val="00D74B51"/>
    <w:rsid w:val="00D84C0B"/>
    <w:rsid w:val="00DA5CC0"/>
    <w:rsid w:val="00DB52D2"/>
    <w:rsid w:val="00DC37BF"/>
    <w:rsid w:val="00DC5553"/>
    <w:rsid w:val="00DD170E"/>
    <w:rsid w:val="00DD18CB"/>
    <w:rsid w:val="00DD78B9"/>
    <w:rsid w:val="00DE2E4C"/>
    <w:rsid w:val="00DF38CB"/>
    <w:rsid w:val="00DF4D94"/>
    <w:rsid w:val="00DF5E4F"/>
    <w:rsid w:val="00DF7635"/>
    <w:rsid w:val="00E152B0"/>
    <w:rsid w:val="00E20820"/>
    <w:rsid w:val="00E228CF"/>
    <w:rsid w:val="00E23523"/>
    <w:rsid w:val="00E2466A"/>
    <w:rsid w:val="00E25A24"/>
    <w:rsid w:val="00E37023"/>
    <w:rsid w:val="00E37D16"/>
    <w:rsid w:val="00E43891"/>
    <w:rsid w:val="00E438A3"/>
    <w:rsid w:val="00E4698C"/>
    <w:rsid w:val="00E6166F"/>
    <w:rsid w:val="00E63F35"/>
    <w:rsid w:val="00E65A96"/>
    <w:rsid w:val="00E65DFA"/>
    <w:rsid w:val="00E723BE"/>
    <w:rsid w:val="00E75507"/>
    <w:rsid w:val="00E801FF"/>
    <w:rsid w:val="00E86CE9"/>
    <w:rsid w:val="00E913B4"/>
    <w:rsid w:val="00E928EB"/>
    <w:rsid w:val="00E94E21"/>
    <w:rsid w:val="00EA72E1"/>
    <w:rsid w:val="00EB10AB"/>
    <w:rsid w:val="00EB3E43"/>
    <w:rsid w:val="00EB6865"/>
    <w:rsid w:val="00EB7F18"/>
    <w:rsid w:val="00EC1378"/>
    <w:rsid w:val="00EC2A7D"/>
    <w:rsid w:val="00EC5C09"/>
    <w:rsid w:val="00ED2BEF"/>
    <w:rsid w:val="00ED31E9"/>
    <w:rsid w:val="00ED595A"/>
    <w:rsid w:val="00EE18C0"/>
    <w:rsid w:val="00EE3337"/>
    <w:rsid w:val="00EE6662"/>
    <w:rsid w:val="00EF22BC"/>
    <w:rsid w:val="00EF433F"/>
    <w:rsid w:val="00EF64B0"/>
    <w:rsid w:val="00F1749F"/>
    <w:rsid w:val="00F2650B"/>
    <w:rsid w:val="00F300FE"/>
    <w:rsid w:val="00F32DEE"/>
    <w:rsid w:val="00F3546E"/>
    <w:rsid w:val="00F3657B"/>
    <w:rsid w:val="00F41ADC"/>
    <w:rsid w:val="00F43D9E"/>
    <w:rsid w:val="00F55825"/>
    <w:rsid w:val="00F70FB0"/>
    <w:rsid w:val="00F714F2"/>
    <w:rsid w:val="00F842CA"/>
    <w:rsid w:val="00F85CE9"/>
    <w:rsid w:val="00F87C53"/>
    <w:rsid w:val="00F903DE"/>
    <w:rsid w:val="00F96C13"/>
    <w:rsid w:val="00FA1B95"/>
    <w:rsid w:val="00FA21C6"/>
    <w:rsid w:val="00FA4FE5"/>
    <w:rsid w:val="00FA73D9"/>
    <w:rsid w:val="00FB3387"/>
    <w:rsid w:val="00FB7024"/>
    <w:rsid w:val="00FC2A5C"/>
    <w:rsid w:val="00FD1AC4"/>
    <w:rsid w:val="00FD2BD8"/>
    <w:rsid w:val="00FD32E3"/>
    <w:rsid w:val="00FD5283"/>
    <w:rsid w:val="00FD7868"/>
    <w:rsid w:val="00FE43AA"/>
    <w:rsid w:val="00FE73EA"/>
    <w:rsid w:val="00FE750C"/>
    <w:rsid w:val="00FF6EFD"/>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1974532"/>
  <w15:docId w15:val="{A5570DD7-9982-44E2-AD4F-F4FA1EF7B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0CC"/>
    <w:rPr>
      <w:sz w:val="24"/>
      <w:szCs w:val="24"/>
      <w:lang w:val="es-ES" w:eastAsia="es-ES"/>
    </w:rPr>
  </w:style>
  <w:style w:type="paragraph" w:styleId="Ttulo1">
    <w:name w:val="heading 1"/>
    <w:basedOn w:val="Normal"/>
    <w:next w:val="Normal"/>
    <w:qFormat/>
    <w:rsid w:val="009B50CC"/>
    <w:pPr>
      <w:keepNext/>
      <w:jc w:val="both"/>
      <w:outlineLvl w:val="0"/>
    </w:pPr>
    <w:rPr>
      <w:rFonts w:ascii="Arial" w:hAnsi="Arial"/>
      <w:b/>
      <w:sz w:val="23"/>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B50CC"/>
    <w:pPr>
      <w:spacing w:line="240" w:lineRule="atLeast"/>
      <w:jc w:val="both"/>
    </w:pPr>
    <w:rPr>
      <w:rFonts w:ascii="Arial" w:hAnsi="Arial"/>
      <w:spacing w:val="20"/>
      <w:sz w:val="16"/>
      <w:szCs w:val="20"/>
      <w:lang w:val="es-ES_tradnl"/>
    </w:rPr>
  </w:style>
  <w:style w:type="paragraph" w:styleId="Sangra2detindependiente">
    <w:name w:val="Body Text Indent 2"/>
    <w:basedOn w:val="Normal"/>
    <w:rsid w:val="009B50CC"/>
    <w:pPr>
      <w:tabs>
        <w:tab w:val="left" w:pos="-720"/>
        <w:tab w:val="left" w:pos="7371"/>
      </w:tabs>
      <w:suppressAutoHyphens/>
      <w:ind w:left="1418" w:hanging="1418"/>
    </w:pPr>
    <w:rPr>
      <w:sz w:val="23"/>
      <w:szCs w:val="20"/>
    </w:rPr>
  </w:style>
  <w:style w:type="paragraph" w:styleId="Ttulo">
    <w:name w:val="Title"/>
    <w:basedOn w:val="Normal"/>
    <w:qFormat/>
    <w:rsid w:val="009B50CC"/>
    <w:pPr>
      <w:spacing w:before="20" w:after="20"/>
      <w:jc w:val="both"/>
      <w:outlineLvl w:val="0"/>
    </w:pPr>
    <w:rPr>
      <w:rFonts w:ascii="Arial" w:hAnsi="Arial"/>
      <w:b/>
      <w:kern w:val="24"/>
      <w:szCs w:val="20"/>
      <w:lang w:val="es-CO"/>
    </w:rPr>
  </w:style>
  <w:style w:type="paragraph" w:styleId="Textoindependiente2">
    <w:name w:val="Body Text 2"/>
    <w:basedOn w:val="Normal"/>
    <w:rsid w:val="009B50CC"/>
    <w:pPr>
      <w:jc w:val="both"/>
    </w:pPr>
    <w:rPr>
      <w:color w:val="FF0000"/>
      <w:sz w:val="20"/>
      <w:szCs w:val="20"/>
      <w:lang w:val="es-MX"/>
    </w:rPr>
  </w:style>
  <w:style w:type="paragraph" w:styleId="Textoindependiente3">
    <w:name w:val="Body Text 3"/>
    <w:basedOn w:val="Normal"/>
    <w:rsid w:val="009B50CC"/>
    <w:pPr>
      <w:jc w:val="both"/>
    </w:pPr>
    <w:rPr>
      <w:spacing w:val="20"/>
      <w:sz w:val="20"/>
      <w:szCs w:val="20"/>
      <w:lang w:val="es-MX"/>
    </w:rPr>
  </w:style>
  <w:style w:type="paragraph" w:styleId="NormalWeb">
    <w:name w:val="Normal (Web)"/>
    <w:basedOn w:val="Normal"/>
    <w:rsid w:val="009B50CC"/>
    <w:pPr>
      <w:spacing w:before="100" w:beforeAutospacing="1" w:after="100" w:afterAutospacing="1"/>
    </w:pPr>
    <w:rPr>
      <w:rFonts w:ascii="Arial Unicode MS" w:eastAsia="Arial Unicode MS" w:hAnsi="Arial Unicode MS" w:cs="Arial Unicode MS"/>
      <w:color w:val="000000"/>
    </w:rPr>
  </w:style>
  <w:style w:type="paragraph" w:styleId="Textodeglobo">
    <w:name w:val="Balloon Text"/>
    <w:basedOn w:val="Normal"/>
    <w:semiHidden/>
    <w:rsid w:val="009B50CC"/>
    <w:rPr>
      <w:rFonts w:ascii="Tahoma" w:hAnsi="Tahoma" w:cs="Tahoma"/>
      <w:sz w:val="16"/>
      <w:szCs w:val="16"/>
    </w:rPr>
  </w:style>
  <w:style w:type="character" w:styleId="Refdecomentario">
    <w:name w:val="annotation reference"/>
    <w:semiHidden/>
    <w:rsid w:val="009B50CC"/>
    <w:rPr>
      <w:rFonts w:cs="Times New Roman"/>
      <w:sz w:val="16"/>
      <w:szCs w:val="16"/>
    </w:rPr>
  </w:style>
  <w:style w:type="paragraph" w:styleId="Textocomentario">
    <w:name w:val="annotation text"/>
    <w:basedOn w:val="Normal"/>
    <w:link w:val="TextocomentarioCar"/>
    <w:uiPriority w:val="99"/>
    <w:semiHidden/>
    <w:rsid w:val="009B50CC"/>
    <w:rPr>
      <w:sz w:val="20"/>
      <w:szCs w:val="20"/>
    </w:rPr>
  </w:style>
  <w:style w:type="paragraph" w:styleId="Encabezado">
    <w:name w:val="header"/>
    <w:basedOn w:val="Normal"/>
    <w:link w:val="EncabezadoCar"/>
    <w:uiPriority w:val="99"/>
    <w:rsid w:val="00A339F1"/>
    <w:pPr>
      <w:tabs>
        <w:tab w:val="center" w:pos="4252"/>
        <w:tab w:val="right" w:pos="8504"/>
      </w:tabs>
    </w:pPr>
  </w:style>
  <w:style w:type="paragraph" w:styleId="Piedepgina">
    <w:name w:val="footer"/>
    <w:basedOn w:val="Normal"/>
    <w:link w:val="PiedepginaCar"/>
    <w:rsid w:val="00A339F1"/>
    <w:pPr>
      <w:tabs>
        <w:tab w:val="center" w:pos="4252"/>
        <w:tab w:val="right" w:pos="8504"/>
      </w:tabs>
    </w:pPr>
  </w:style>
  <w:style w:type="character" w:styleId="Nmerodepgina">
    <w:name w:val="page number"/>
    <w:basedOn w:val="Fuentedeprrafopredeter"/>
    <w:rsid w:val="00A339F1"/>
  </w:style>
  <w:style w:type="paragraph" w:customStyle="1" w:styleId="Titulo2">
    <w:name w:val="Titulo 2"/>
    <w:basedOn w:val="Normal"/>
    <w:rsid w:val="00A339F1"/>
    <w:pPr>
      <w:numPr>
        <w:numId w:val="1"/>
      </w:numPr>
    </w:pPr>
  </w:style>
  <w:style w:type="paragraph" w:customStyle="1" w:styleId="Titulo">
    <w:name w:val="Titulo"/>
    <w:basedOn w:val="Normal"/>
    <w:rsid w:val="00A339F1"/>
    <w:pPr>
      <w:numPr>
        <w:ilvl w:val="1"/>
        <w:numId w:val="1"/>
      </w:numPr>
    </w:pPr>
  </w:style>
  <w:style w:type="paragraph" w:styleId="Asuntodelcomentario">
    <w:name w:val="annotation subject"/>
    <w:basedOn w:val="Textocomentario"/>
    <w:next w:val="Textocomentario"/>
    <w:link w:val="AsuntodelcomentarioCar"/>
    <w:rsid w:val="00381C7F"/>
    <w:rPr>
      <w:b/>
      <w:bCs/>
    </w:rPr>
  </w:style>
  <w:style w:type="character" w:customStyle="1" w:styleId="TextocomentarioCar">
    <w:name w:val="Texto comentario Car"/>
    <w:link w:val="Textocomentario"/>
    <w:uiPriority w:val="99"/>
    <w:semiHidden/>
    <w:rsid w:val="00381C7F"/>
    <w:rPr>
      <w:lang w:val="es-ES" w:eastAsia="es-ES"/>
    </w:rPr>
  </w:style>
  <w:style w:type="character" w:customStyle="1" w:styleId="AsuntodelcomentarioCar">
    <w:name w:val="Asunto del comentario Car"/>
    <w:basedOn w:val="TextocomentarioCar"/>
    <w:link w:val="Asuntodelcomentario"/>
    <w:rsid w:val="00381C7F"/>
    <w:rPr>
      <w:lang w:val="es-ES" w:eastAsia="es-ES"/>
    </w:rPr>
  </w:style>
  <w:style w:type="character" w:styleId="nfasis">
    <w:name w:val="Emphasis"/>
    <w:basedOn w:val="Fuentedeprrafopredeter"/>
    <w:qFormat/>
    <w:rsid w:val="00AB355E"/>
    <w:rPr>
      <w:i/>
      <w:iCs/>
    </w:rPr>
  </w:style>
  <w:style w:type="paragraph" w:styleId="Prrafodelista">
    <w:name w:val="List Paragraph"/>
    <w:basedOn w:val="Normal"/>
    <w:uiPriority w:val="34"/>
    <w:qFormat/>
    <w:rsid w:val="00A05B76"/>
    <w:pPr>
      <w:ind w:left="720"/>
      <w:contextualSpacing/>
    </w:pPr>
  </w:style>
  <w:style w:type="paragraph" w:customStyle="1" w:styleId="Default">
    <w:name w:val="Default"/>
    <w:uiPriority w:val="99"/>
    <w:rsid w:val="00A05B76"/>
    <w:pPr>
      <w:autoSpaceDE w:val="0"/>
      <w:autoSpaceDN w:val="0"/>
      <w:adjustRightInd w:val="0"/>
    </w:pPr>
    <w:rPr>
      <w:rFonts w:ascii="Arial" w:hAnsi="Arial" w:cs="Arial"/>
      <w:color w:val="000000"/>
      <w:sz w:val="24"/>
      <w:szCs w:val="24"/>
    </w:rPr>
  </w:style>
  <w:style w:type="paragraph" w:styleId="Revisin">
    <w:name w:val="Revision"/>
    <w:hidden/>
    <w:uiPriority w:val="99"/>
    <w:semiHidden/>
    <w:rsid w:val="00DF7635"/>
    <w:rPr>
      <w:sz w:val="24"/>
      <w:szCs w:val="24"/>
      <w:lang w:val="es-ES" w:eastAsia="es-ES"/>
    </w:rPr>
  </w:style>
  <w:style w:type="character" w:styleId="Hipervnculo">
    <w:name w:val="Hyperlink"/>
    <w:basedOn w:val="Fuentedeprrafopredeter"/>
    <w:unhideWhenUsed/>
    <w:rsid w:val="00205199"/>
    <w:rPr>
      <w:color w:val="0000FF" w:themeColor="hyperlink"/>
      <w:u w:val="single"/>
    </w:rPr>
  </w:style>
  <w:style w:type="character" w:styleId="Hipervnculovisitado">
    <w:name w:val="FollowedHyperlink"/>
    <w:basedOn w:val="Fuentedeprrafopredeter"/>
    <w:semiHidden/>
    <w:unhideWhenUsed/>
    <w:rsid w:val="00205199"/>
    <w:rPr>
      <w:color w:val="800080" w:themeColor="followedHyperlink"/>
      <w:u w:val="single"/>
    </w:rPr>
  </w:style>
  <w:style w:type="character" w:customStyle="1" w:styleId="EncabezadoCar">
    <w:name w:val="Encabezado Car"/>
    <w:basedOn w:val="Fuentedeprrafopredeter"/>
    <w:link w:val="Encabezado"/>
    <w:uiPriority w:val="99"/>
    <w:rsid w:val="00A329B8"/>
    <w:rPr>
      <w:sz w:val="24"/>
      <w:szCs w:val="24"/>
      <w:lang w:val="es-ES" w:eastAsia="es-ES"/>
    </w:rPr>
  </w:style>
  <w:style w:type="character" w:customStyle="1" w:styleId="PiedepginaCar">
    <w:name w:val="Pie de página Car"/>
    <w:basedOn w:val="Fuentedeprrafopredeter"/>
    <w:link w:val="Piedepgina"/>
    <w:rsid w:val="00121058"/>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5726">
      <w:bodyDiv w:val="1"/>
      <w:marLeft w:val="0"/>
      <w:marRight w:val="0"/>
      <w:marTop w:val="0"/>
      <w:marBottom w:val="0"/>
      <w:divBdr>
        <w:top w:val="none" w:sz="0" w:space="0" w:color="auto"/>
        <w:left w:val="none" w:sz="0" w:space="0" w:color="auto"/>
        <w:bottom w:val="none" w:sz="0" w:space="0" w:color="auto"/>
        <w:right w:val="none" w:sz="0" w:space="0" w:color="auto"/>
      </w:divBdr>
    </w:div>
    <w:div w:id="972834460">
      <w:bodyDiv w:val="1"/>
      <w:marLeft w:val="0"/>
      <w:marRight w:val="0"/>
      <w:marTop w:val="0"/>
      <w:marBottom w:val="0"/>
      <w:divBdr>
        <w:top w:val="none" w:sz="0" w:space="0" w:color="auto"/>
        <w:left w:val="none" w:sz="0" w:space="0" w:color="auto"/>
        <w:bottom w:val="none" w:sz="0" w:space="0" w:color="auto"/>
        <w:right w:val="none" w:sz="0" w:space="0" w:color="auto"/>
      </w:divBdr>
    </w:div>
    <w:div w:id="1145317477">
      <w:bodyDiv w:val="1"/>
      <w:marLeft w:val="0"/>
      <w:marRight w:val="0"/>
      <w:marTop w:val="0"/>
      <w:marBottom w:val="0"/>
      <w:divBdr>
        <w:top w:val="none" w:sz="0" w:space="0" w:color="auto"/>
        <w:left w:val="none" w:sz="0" w:space="0" w:color="auto"/>
        <w:bottom w:val="none" w:sz="0" w:space="0" w:color="auto"/>
        <w:right w:val="none" w:sz="0" w:space="0" w:color="auto"/>
      </w:divBdr>
    </w:div>
    <w:div w:id="1624271181">
      <w:bodyDiv w:val="1"/>
      <w:marLeft w:val="0"/>
      <w:marRight w:val="0"/>
      <w:marTop w:val="0"/>
      <w:marBottom w:val="0"/>
      <w:divBdr>
        <w:top w:val="none" w:sz="0" w:space="0" w:color="auto"/>
        <w:left w:val="none" w:sz="0" w:space="0" w:color="auto"/>
        <w:bottom w:val="none" w:sz="0" w:space="0" w:color="auto"/>
        <w:right w:val="none" w:sz="0" w:space="0" w:color="auto"/>
      </w:divBdr>
    </w:div>
    <w:div w:id="200940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96321521CFDF844BAE38C64CA8C38B3" ma:contentTypeVersion="13" ma:contentTypeDescription="Create a new document." ma:contentTypeScope="" ma:versionID="fa0b05d4863d75280ea9c5d7b0f9d325">
  <xsd:schema xmlns:xsd="http://www.w3.org/2001/XMLSchema" xmlns:xs="http://www.w3.org/2001/XMLSchema" xmlns:p="http://schemas.microsoft.com/office/2006/metadata/properties" xmlns:ns3="7a60916c-0df2-4b3c-a6c0-429dbed52577" xmlns:ns4="43d38367-3cd9-471f-aad4-a363ece316a3" targetNamespace="http://schemas.microsoft.com/office/2006/metadata/properties" ma:root="true" ma:fieldsID="112e52e6cbfe4d20cdb282667e925279" ns3:_="" ns4:_="">
    <xsd:import namespace="7a60916c-0df2-4b3c-a6c0-429dbed52577"/>
    <xsd:import namespace="43d38367-3cd9-471f-aad4-a363ece316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0916c-0df2-4b3c-a6c0-429dbed525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d38367-3cd9-471f-aad4-a363ece316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4D0F30-8FF1-4239-A4F1-E09BBACCE76D}">
  <ds:schemaRefs>
    <ds:schemaRef ds:uri="http://schemas.openxmlformats.org/officeDocument/2006/bibliography"/>
  </ds:schemaRefs>
</ds:datastoreItem>
</file>

<file path=customXml/itemProps2.xml><?xml version="1.0" encoding="utf-8"?>
<ds:datastoreItem xmlns:ds="http://schemas.openxmlformats.org/officeDocument/2006/customXml" ds:itemID="{98E1CB12-8F73-4A4B-A8D3-4EB988641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0916c-0df2-4b3c-a6c0-429dbed52577"/>
    <ds:schemaRef ds:uri="43d38367-3cd9-471f-aad4-a363ece31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DE87C-269D-47FF-9CF5-B7BACA762714}">
  <ds:schemaRefs>
    <ds:schemaRef ds:uri="http://schemas.microsoft.com/sharepoint/v3/contenttype/forms"/>
  </ds:schemaRefs>
</ds:datastoreItem>
</file>

<file path=customXml/itemProps4.xml><?xml version="1.0" encoding="utf-8"?>
<ds:datastoreItem xmlns:ds="http://schemas.openxmlformats.org/officeDocument/2006/customXml" ds:itemID="{29BB6664-EFFA-4EAD-8CA6-91F1F4E098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531</Words>
  <Characters>2877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CAPÍTULO PRIMERO</vt:lpstr>
    </vt:vector>
  </TitlesOfParts>
  <Company>SUPERFINANCIERA</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CAPÍTULO PRIMERO</dc:title>
  <dc:creator>pasante512</dc:creator>
  <cp:lastModifiedBy>Gabriel Armando Ospina Garcia</cp:lastModifiedBy>
  <cp:revision>4</cp:revision>
  <cp:lastPrinted>2019-12-13T20:50:00Z</cp:lastPrinted>
  <dcterms:created xsi:type="dcterms:W3CDTF">2022-07-19T15:41:00Z</dcterms:created>
  <dcterms:modified xsi:type="dcterms:W3CDTF">2022-07-29T21:59:00Z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0x010100696321521CFDF844BAE38C64CA8C38B3</vt:lpwstr>
  </property>
</Properties>
</file>