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AD9A" w14:textId="1A508FB7" w:rsidR="000058D1" w:rsidRDefault="00262766" w:rsidP="008F0F00">
      <w:pPr>
        <w:jc w:val="both"/>
        <w:rPr>
          <w:rFonts w:ascii="Arial" w:hAnsi="Arial" w:cs="Arial"/>
          <w:color w:val="000000"/>
          <w:sz w:val="18"/>
          <w:szCs w:val="18"/>
          <w:lang w:eastAsia="es-CO"/>
        </w:rPr>
      </w:pPr>
      <w:r>
        <w:rPr>
          <w:rFonts w:ascii="Arial" w:hAnsi="Arial" w:cs="Arial"/>
          <w:color w:val="000000"/>
          <w:sz w:val="18"/>
          <w:szCs w:val="18"/>
          <w:lang w:eastAsia="es-CO"/>
        </w:rPr>
        <w:t>igual al valor del crédito en la fecha del desembolso</w:t>
      </w:r>
      <w:r w:rsidR="00CF6537">
        <w:rPr>
          <w:rFonts w:ascii="Arial" w:hAnsi="Arial" w:cs="Arial"/>
          <w:color w:val="000000"/>
          <w:sz w:val="18"/>
          <w:szCs w:val="18"/>
          <w:lang w:eastAsia="es-CO"/>
        </w:rPr>
        <w:t>;</w:t>
      </w:r>
      <w:r>
        <w:rPr>
          <w:rFonts w:ascii="Arial" w:hAnsi="Arial" w:cs="Arial"/>
          <w:color w:val="000000"/>
          <w:sz w:val="18"/>
          <w:szCs w:val="18"/>
          <w:lang w:eastAsia="es-CO"/>
        </w:rPr>
        <w:t xml:space="preserve"> y </w:t>
      </w:r>
      <w:proofErr w:type="spellStart"/>
      <w:r>
        <w:rPr>
          <w:rFonts w:ascii="Arial" w:hAnsi="Arial" w:cs="Arial"/>
          <w:color w:val="000000"/>
          <w:sz w:val="18"/>
          <w:szCs w:val="18"/>
          <w:lang w:eastAsia="es-CO"/>
        </w:rPr>
        <w:t>ii</w:t>
      </w:r>
      <w:proofErr w:type="spellEnd"/>
      <w:r>
        <w:rPr>
          <w:rFonts w:ascii="Arial" w:hAnsi="Arial" w:cs="Arial"/>
          <w:color w:val="000000"/>
          <w:sz w:val="18"/>
          <w:szCs w:val="18"/>
          <w:lang w:eastAsia="es-CO"/>
        </w:rPr>
        <w:t xml:space="preserve">) para los créditos otorgados después de la </w:t>
      </w:r>
      <w:proofErr w:type="gramStart"/>
      <w:r>
        <w:rPr>
          <w:rFonts w:ascii="Arial" w:hAnsi="Arial" w:cs="Arial"/>
          <w:color w:val="000000"/>
          <w:sz w:val="18"/>
          <w:szCs w:val="18"/>
          <w:lang w:eastAsia="es-CO"/>
        </w:rPr>
        <w:t>entrada en vigencia</w:t>
      </w:r>
      <w:proofErr w:type="gramEnd"/>
      <w:r>
        <w:rPr>
          <w:rFonts w:ascii="Arial" w:hAnsi="Arial" w:cs="Arial"/>
          <w:color w:val="000000"/>
          <w:sz w:val="18"/>
          <w:szCs w:val="18"/>
          <w:lang w:eastAsia="es-CO"/>
        </w:rPr>
        <w:t xml:space="preserve"> de la Ley 546 de 1999</w:t>
      </w:r>
      <w:r w:rsidR="00CF6537">
        <w:rPr>
          <w:rFonts w:ascii="Arial" w:hAnsi="Arial" w:cs="Arial"/>
          <w:color w:val="000000"/>
          <w:sz w:val="18"/>
          <w:szCs w:val="18"/>
          <w:lang w:eastAsia="es-CO"/>
        </w:rPr>
        <w:t>,</w:t>
      </w:r>
      <w:r>
        <w:rPr>
          <w:rFonts w:ascii="Arial" w:hAnsi="Arial" w:cs="Arial"/>
          <w:color w:val="000000"/>
          <w:sz w:val="18"/>
          <w:szCs w:val="18"/>
          <w:lang w:eastAsia="es-CO"/>
        </w:rPr>
        <w:t xml:space="preserve"> el </w:t>
      </w:r>
      <w:r w:rsidR="000058D1">
        <w:rPr>
          <w:rFonts w:ascii="Arial" w:hAnsi="Arial" w:cs="Arial"/>
          <w:color w:val="000000"/>
          <w:sz w:val="18"/>
          <w:szCs w:val="18"/>
          <w:lang w:eastAsia="es-CO"/>
        </w:rPr>
        <w:t>valor</w:t>
      </w:r>
      <w:r>
        <w:rPr>
          <w:rFonts w:ascii="Arial" w:hAnsi="Arial" w:cs="Arial"/>
          <w:color w:val="000000"/>
          <w:sz w:val="18"/>
          <w:szCs w:val="18"/>
          <w:lang w:eastAsia="es-CO"/>
        </w:rPr>
        <w:t xml:space="preserve"> de la garantía debe ser el que resulte de dividir el monto del crédito al momento del desembolso</w:t>
      </w:r>
      <w:r w:rsidR="0046638C">
        <w:rPr>
          <w:rFonts w:ascii="Arial" w:hAnsi="Arial" w:cs="Arial"/>
          <w:color w:val="000000"/>
          <w:sz w:val="18"/>
          <w:szCs w:val="18"/>
          <w:lang w:eastAsia="es-CO"/>
        </w:rPr>
        <w:t>,</w:t>
      </w:r>
      <w:r>
        <w:rPr>
          <w:rFonts w:ascii="Arial" w:hAnsi="Arial" w:cs="Arial"/>
          <w:color w:val="000000"/>
          <w:sz w:val="18"/>
          <w:szCs w:val="18"/>
          <w:lang w:eastAsia="es-CO"/>
        </w:rPr>
        <w:t xml:space="preserve"> sobre el porcentaje de financiación correspondiente </w:t>
      </w:r>
      <w:r w:rsidR="000058D1">
        <w:rPr>
          <w:rFonts w:ascii="Arial" w:hAnsi="Arial" w:cs="Arial"/>
          <w:color w:val="000000"/>
          <w:sz w:val="18"/>
          <w:szCs w:val="18"/>
          <w:lang w:eastAsia="es-CO"/>
        </w:rPr>
        <w:t xml:space="preserve">a la relación </w:t>
      </w:r>
      <w:r w:rsidR="00CA0BC2">
        <w:rPr>
          <w:rFonts w:ascii="Arial" w:hAnsi="Arial" w:cs="Arial"/>
          <w:color w:val="000000"/>
          <w:sz w:val="18"/>
          <w:szCs w:val="18"/>
          <w:lang w:eastAsia="es-CO"/>
        </w:rPr>
        <w:t>saldo / garantía</w:t>
      </w:r>
      <w:r w:rsidR="00ED3AD0">
        <w:rPr>
          <w:rFonts w:ascii="Arial" w:hAnsi="Arial" w:cs="Arial"/>
          <w:color w:val="000000"/>
          <w:sz w:val="18"/>
          <w:szCs w:val="18"/>
          <w:lang w:eastAsia="es-CO"/>
        </w:rPr>
        <w:t xml:space="preserve"> </w:t>
      </w:r>
      <w:r>
        <w:rPr>
          <w:rFonts w:ascii="Arial" w:hAnsi="Arial" w:cs="Arial"/>
          <w:color w:val="000000"/>
          <w:sz w:val="18"/>
          <w:szCs w:val="18"/>
          <w:lang w:eastAsia="es-CO"/>
        </w:rPr>
        <w:t xml:space="preserve">conforme a la </w:t>
      </w:r>
      <w:r w:rsidR="000058D1">
        <w:rPr>
          <w:rFonts w:ascii="Arial" w:hAnsi="Arial" w:cs="Arial"/>
          <w:color w:val="000000"/>
          <w:sz w:val="18"/>
          <w:szCs w:val="18"/>
          <w:lang w:eastAsia="es-CO"/>
        </w:rPr>
        <w:t xml:space="preserve">Ley </w:t>
      </w:r>
      <w:r w:rsidR="00CA0BC2">
        <w:rPr>
          <w:rFonts w:ascii="Arial" w:hAnsi="Arial" w:cs="Arial"/>
          <w:color w:val="000000"/>
          <w:sz w:val="18"/>
          <w:szCs w:val="18"/>
          <w:lang w:eastAsia="es-CO"/>
        </w:rPr>
        <w:t>546 de 1999</w:t>
      </w:r>
      <w:r w:rsidR="00676E81">
        <w:rPr>
          <w:rFonts w:ascii="Arial" w:hAnsi="Arial" w:cs="Arial"/>
          <w:color w:val="000000"/>
          <w:sz w:val="18"/>
          <w:szCs w:val="18"/>
          <w:lang w:eastAsia="es-CO"/>
        </w:rPr>
        <w:t xml:space="preserve"> y su correspondiente reglamentación</w:t>
      </w:r>
      <w:r w:rsidR="000058D1">
        <w:rPr>
          <w:rFonts w:ascii="Arial" w:hAnsi="Arial" w:cs="Arial"/>
          <w:color w:val="000000"/>
          <w:sz w:val="18"/>
          <w:szCs w:val="18"/>
          <w:lang w:eastAsia="es-CO"/>
        </w:rPr>
        <w:t>.</w:t>
      </w:r>
    </w:p>
    <w:p w14:paraId="1409C643" w14:textId="77777777" w:rsidR="000058D1" w:rsidRPr="00BC28E9" w:rsidRDefault="000058D1" w:rsidP="008F0F00">
      <w:pPr>
        <w:jc w:val="both"/>
        <w:rPr>
          <w:rFonts w:ascii="Arial" w:hAnsi="Arial" w:cs="Arial"/>
          <w:color w:val="000000"/>
          <w:sz w:val="14"/>
          <w:szCs w:val="18"/>
          <w:lang w:eastAsia="es-CO"/>
        </w:rPr>
      </w:pPr>
    </w:p>
    <w:p w14:paraId="5607BF98" w14:textId="4907E002" w:rsidR="008F0F00" w:rsidRPr="001B590C" w:rsidRDefault="0054550C" w:rsidP="001B590C">
      <w:pPr>
        <w:pStyle w:val="Prrafodelista"/>
        <w:numPr>
          <w:ilvl w:val="2"/>
          <w:numId w:val="39"/>
        </w:numPr>
        <w:jc w:val="both"/>
        <w:outlineLvl w:val="2"/>
        <w:rPr>
          <w:rFonts w:ascii="Arial" w:hAnsi="Arial" w:cs="Arial"/>
          <w:sz w:val="18"/>
          <w:szCs w:val="18"/>
        </w:rPr>
      </w:pPr>
      <w:r w:rsidRPr="001B590C">
        <w:rPr>
          <w:rFonts w:ascii="Arial" w:hAnsi="Arial" w:cs="Arial"/>
          <w:sz w:val="18"/>
          <w:szCs w:val="18"/>
        </w:rPr>
        <w:t>Calificaciones de riesgo</w:t>
      </w:r>
      <w:r w:rsidR="00B14CF3" w:rsidRPr="001B590C">
        <w:rPr>
          <w:rFonts w:ascii="Arial" w:hAnsi="Arial" w:cs="Arial"/>
          <w:sz w:val="18"/>
          <w:szCs w:val="18"/>
        </w:rPr>
        <w:t xml:space="preserve"> </w:t>
      </w:r>
      <w:r w:rsidR="00370843" w:rsidRPr="001B590C">
        <w:rPr>
          <w:rFonts w:ascii="Arial" w:hAnsi="Arial" w:cs="Arial"/>
          <w:sz w:val="18"/>
          <w:szCs w:val="18"/>
        </w:rPr>
        <w:t xml:space="preserve">otorgadas por una </w:t>
      </w:r>
      <w:r w:rsidR="00B14CF3" w:rsidRPr="001B590C">
        <w:rPr>
          <w:rFonts w:ascii="Arial" w:hAnsi="Arial" w:cs="Arial"/>
          <w:sz w:val="18"/>
          <w:szCs w:val="18"/>
        </w:rPr>
        <w:t>sociedad</w:t>
      </w:r>
      <w:r w:rsidR="00370843" w:rsidRPr="001B590C">
        <w:rPr>
          <w:rFonts w:ascii="Arial" w:hAnsi="Arial" w:cs="Arial"/>
          <w:sz w:val="18"/>
          <w:szCs w:val="18"/>
        </w:rPr>
        <w:t xml:space="preserve"> </w:t>
      </w:r>
      <w:r w:rsidR="00B14CF3" w:rsidRPr="001B590C">
        <w:rPr>
          <w:rFonts w:ascii="Arial" w:hAnsi="Arial" w:cs="Arial"/>
          <w:sz w:val="18"/>
          <w:szCs w:val="18"/>
        </w:rPr>
        <w:t>calificadora de riesgo</w:t>
      </w:r>
    </w:p>
    <w:p w14:paraId="024E2076" w14:textId="77777777" w:rsidR="008F0F00" w:rsidRPr="00BC28E9" w:rsidRDefault="008F0F00" w:rsidP="00D41C7E">
      <w:pPr>
        <w:jc w:val="both"/>
        <w:rPr>
          <w:rFonts w:ascii="Arial" w:hAnsi="Arial" w:cs="Arial"/>
          <w:sz w:val="14"/>
          <w:szCs w:val="18"/>
        </w:rPr>
      </w:pPr>
    </w:p>
    <w:p w14:paraId="0A3FF41C" w14:textId="77777777" w:rsidR="00BE3B6B" w:rsidRPr="002A1090" w:rsidRDefault="008F0F00" w:rsidP="00BE3B6B">
      <w:pPr>
        <w:jc w:val="both"/>
        <w:rPr>
          <w:rFonts w:ascii="Arial" w:hAnsi="Arial" w:cs="Arial"/>
          <w:sz w:val="18"/>
          <w:szCs w:val="18"/>
        </w:rPr>
      </w:pPr>
      <w:r w:rsidRPr="000A17D7">
        <w:rPr>
          <w:rFonts w:ascii="Arial" w:hAnsi="Arial" w:cs="Arial"/>
          <w:sz w:val="18"/>
          <w:szCs w:val="18"/>
        </w:rPr>
        <w:t xml:space="preserve">Las calificaciones de riesgo a las que hace referencia el presente </w:t>
      </w:r>
      <w:r w:rsidR="00A31789">
        <w:rPr>
          <w:rFonts w:ascii="Arial" w:hAnsi="Arial" w:cs="Arial"/>
          <w:sz w:val="18"/>
          <w:szCs w:val="18"/>
        </w:rPr>
        <w:t>C</w:t>
      </w:r>
      <w:r w:rsidRPr="000A17D7">
        <w:rPr>
          <w:rFonts w:ascii="Arial" w:hAnsi="Arial" w:cs="Arial"/>
          <w:sz w:val="18"/>
          <w:szCs w:val="18"/>
        </w:rPr>
        <w:t>apítulo</w:t>
      </w:r>
      <w:r w:rsidR="00A652D7">
        <w:rPr>
          <w:rFonts w:ascii="Arial" w:hAnsi="Arial" w:cs="Arial"/>
          <w:sz w:val="18"/>
          <w:szCs w:val="18"/>
        </w:rPr>
        <w:t xml:space="preserve"> </w:t>
      </w:r>
      <w:r w:rsidR="00E57020">
        <w:rPr>
          <w:rFonts w:ascii="Arial" w:hAnsi="Arial" w:cs="Arial"/>
          <w:sz w:val="18"/>
          <w:szCs w:val="18"/>
        </w:rPr>
        <w:t xml:space="preserve">deben </w:t>
      </w:r>
      <w:r w:rsidR="007B322A">
        <w:rPr>
          <w:rFonts w:ascii="Arial" w:hAnsi="Arial" w:cs="Arial"/>
          <w:sz w:val="18"/>
          <w:szCs w:val="18"/>
        </w:rPr>
        <w:t>cumplir los requisitos</w:t>
      </w:r>
      <w:r w:rsidR="00E57020">
        <w:rPr>
          <w:rFonts w:ascii="Arial" w:hAnsi="Arial" w:cs="Arial"/>
          <w:sz w:val="18"/>
          <w:szCs w:val="18"/>
        </w:rPr>
        <w:t xml:space="preserve"> </w:t>
      </w:r>
      <w:r w:rsidR="00D32268">
        <w:rPr>
          <w:rFonts w:ascii="Arial" w:hAnsi="Arial" w:cs="Arial"/>
          <w:sz w:val="18"/>
          <w:szCs w:val="18"/>
        </w:rPr>
        <w:t>del</w:t>
      </w:r>
      <w:r w:rsidR="00E57020">
        <w:rPr>
          <w:rFonts w:ascii="Arial" w:hAnsi="Arial" w:cs="Arial"/>
          <w:sz w:val="18"/>
          <w:szCs w:val="18"/>
        </w:rPr>
        <w:t xml:space="preserve"> artículo 2.1.1.3.</w:t>
      </w:r>
      <w:r w:rsidR="00A652D7">
        <w:rPr>
          <w:rFonts w:ascii="Arial" w:hAnsi="Arial" w:cs="Arial"/>
          <w:sz w:val="18"/>
          <w:szCs w:val="18"/>
        </w:rPr>
        <w:t>7 del Decreto 2555 de 2010</w:t>
      </w:r>
      <w:r w:rsidR="00A52853">
        <w:rPr>
          <w:rFonts w:ascii="Arial" w:hAnsi="Arial" w:cs="Arial"/>
          <w:sz w:val="18"/>
          <w:szCs w:val="18"/>
        </w:rPr>
        <w:t xml:space="preserve"> y l</w:t>
      </w:r>
      <w:r w:rsidR="007B322A">
        <w:rPr>
          <w:rFonts w:ascii="Arial" w:hAnsi="Arial" w:cs="Arial"/>
          <w:sz w:val="18"/>
          <w:szCs w:val="18"/>
        </w:rPr>
        <w:t>o</w:t>
      </w:r>
      <w:r w:rsidR="00A52853">
        <w:rPr>
          <w:rFonts w:ascii="Arial" w:hAnsi="Arial" w:cs="Arial"/>
          <w:sz w:val="18"/>
          <w:szCs w:val="18"/>
        </w:rPr>
        <w:t xml:space="preserve">s que se indican </w:t>
      </w:r>
      <w:r w:rsidR="00BC05ED">
        <w:rPr>
          <w:rFonts w:ascii="Arial" w:hAnsi="Arial" w:cs="Arial"/>
          <w:sz w:val="18"/>
          <w:szCs w:val="18"/>
        </w:rPr>
        <w:t>a continuación</w:t>
      </w:r>
      <w:r w:rsidR="0000491B">
        <w:rPr>
          <w:rFonts w:ascii="Arial" w:hAnsi="Arial" w:cs="Arial"/>
          <w:sz w:val="18"/>
          <w:szCs w:val="18"/>
        </w:rPr>
        <w:t>.</w:t>
      </w:r>
      <w:r w:rsidR="00C83058">
        <w:rPr>
          <w:rFonts w:ascii="Arial" w:hAnsi="Arial" w:cs="Arial"/>
          <w:sz w:val="18"/>
          <w:szCs w:val="18"/>
        </w:rPr>
        <w:t xml:space="preserve"> </w:t>
      </w:r>
      <w:r w:rsidR="0000491B" w:rsidRPr="007505AA">
        <w:rPr>
          <w:rFonts w:ascii="Arial" w:hAnsi="Arial" w:cs="Arial"/>
          <w:sz w:val="18"/>
          <w:szCs w:val="18"/>
        </w:rPr>
        <w:t>L</w:t>
      </w:r>
      <w:r w:rsidR="00A652D7" w:rsidRPr="007505AA">
        <w:rPr>
          <w:rFonts w:ascii="Arial" w:hAnsi="Arial" w:cs="Arial"/>
          <w:sz w:val="18"/>
          <w:szCs w:val="18"/>
        </w:rPr>
        <w:t xml:space="preserve">as </w:t>
      </w:r>
      <w:r w:rsidR="00A652D7" w:rsidRPr="005C5498">
        <w:rPr>
          <w:rFonts w:ascii="Arial" w:hAnsi="Arial" w:cs="Arial"/>
          <w:sz w:val="18"/>
          <w:szCs w:val="18"/>
        </w:rPr>
        <w:t xml:space="preserve">tablas de calificación y su correspondiente ponderación por riesgo se </w:t>
      </w:r>
      <w:r w:rsidR="0083323C" w:rsidRPr="005C5498">
        <w:rPr>
          <w:rFonts w:ascii="Arial" w:hAnsi="Arial" w:cs="Arial"/>
          <w:sz w:val="18"/>
          <w:szCs w:val="18"/>
        </w:rPr>
        <w:t xml:space="preserve">deben </w:t>
      </w:r>
      <w:r w:rsidR="00A652D7" w:rsidRPr="005C5498">
        <w:rPr>
          <w:rFonts w:ascii="Arial" w:hAnsi="Arial" w:cs="Arial"/>
          <w:sz w:val="18"/>
          <w:szCs w:val="18"/>
        </w:rPr>
        <w:t>aplicar</w:t>
      </w:r>
      <w:r w:rsidR="0083323C" w:rsidRPr="005C5498">
        <w:rPr>
          <w:rFonts w:ascii="Arial" w:hAnsi="Arial" w:cs="Arial"/>
          <w:sz w:val="18"/>
          <w:szCs w:val="18"/>
        </w:rPr>
        <w:t xml:space="preserve"> </w:t>
      </w:r>
      <w:r w:rsidR="00A652D7" w:rsidRPr="005C5498">
        <w:rPr>
          <w:rFonts w:ascii="Arial" w:hAnsi="Arial" w:cs="Arial"/>
          <w:sz w:val="18"/>
          <w:szCs w:val="18"/>
        </w:rPr>
        <w:t xml:space="preserve">considerando el plazo </w:t>
      </w:r>
      <w:r w:rsidR="00C83058" w:rsidRPr="002A1090">
        <w:rPr>
          <w:rFonts w:ascii="Arial" w:hAnsi="Arial" w:cs="Arial"/>
          <w:sz w:val="18"/>
          <w:szCs w:val="18"/>
        </w:rPr>
        <w:t xml:space="preserve">contado a partir </w:t>
      </w:r>
      <w:r w:rsidR="00A652D7" w:rsidRPr="007505AA">
        <w:rPr>
          <w:rFonts w:ascii="Arial" w:hAnsi="Arial" w:cs="Arial"/>
          <w:sz w:val="18"/>
          <w:szCs w:val="18"/>
        </w:rPr>
        <w:t>de la fecha de emisión del activo</w:t>
      </w:r>
      <w:r w:rsidR="00BE3B6B" w:rsidRPr="007505AA">
        <w:rPr>
          <w:rFonts w:ascii="Arial" w:hAnsi="Arial" w:cs="Arial"/>
          <w:sz w:val="18"/>
          <w:szCs w:val="18"/>
        </w:rPr>
        <w:t>.</w:t>
      </w:r>
    </w:p>
    <w:p w14:paraId="52849437" w14:textId="77777777" w:rsidR="00136471" w:rsidRPr="00BC28E9" w:rsidRDefault="00136471" w:rsidP="007B683C">
      <w:pPr>
        <w:jc w:val="both"/>
        <w:rPr>
          <w:rFonts w:ascii="Arial" w:hAnsi="Arial" w:cs="Arial"/>
          <w:sz w:val="14"/>
          <w:szCs w:val="18"/>
          <w:lang w:val="es-CO"/>
        </w:rPr>
      </w:pPr>
    </w:p>
    <w:p w14:paraId="4336DBBC" w14:textId="77777777" w:rsidR="00E14E9A" w:rsidRPr="002A1090" w:rsidRDefault="00BC05ED">
      <w:pPr>
        <w:jc w:val="both"/>
        <w:rPr>
          <w:rFonts w:ascii="Arial" w:hAnsi="Arial" w:cs="Arial"/>
          <w:sz w:val="18"/>
          <w:szCs w:val="18"/>
        </w:rPr>
      </w:pPr>
      <w:r>
        <w:rPr>
          <w:rFonts w:ascii="Arial" w:hAnsi="Arial" w:cs="Arial"/>
          <w:sz w:val="18"/>
          <w:szCs w:val="18"/>
        </w:rPr>
        <w:t>Siempre que exista una calificación d</w:t>
      </w:r>
      <w:r w:rsidR="00AB634A">
        <w:rPr>
          <w:rFonts w:ascii="Arial" w:hAnsi="Arial" w:cs="Arial"/>
          <w:sz w:val="18"/>
          <w:szCs w:val="18"/>
        </w:rPr>
        <w:t xml:space="preserve">e riesgo específica del activo, de </w:t>
      </w:r>
      <w:r>
        <w:rPr>
          <w:rFonts w:ascii="Arial" w:hAnsi="Arial" w:cs="Arial"/>
          <w:sz w:val="18"/>
          <w:szCs w:val="18"/>
        </w:rPr>
        <w:t xml:space="preserve">la exposición o </w:t>
      </w:r>
      <w:r w:rsidR="00AB634A">
        <w:rPr>
          <w:rFonts w:ascii="Arial" w:hAnsi="Arial" w:cs="Arial"/>
          <w:sz w:val="18"/>
          <w:szCs w:val="18"/>
        </w:rPr>
        <w:t xml:space="preserve">de </w:t>
      </w:r>
      <w:r>
        <w:rPr>
          <w:rFonts w:ascii="Arial" w:hAnsi="Arial" w:cs="Arial"/>
          <w:sz w:val="18"/>
          <w:szCs w:val="18"/>
        </w:rPr>
        <w:t xml:space="preserve">la contingencia </w:t>
      </w:r>
      <w:r w:rsidR="002A2885">
        <w:rPr>
          <w:rFonts w:ascii="Arial" w:hAnsi="Arial" w:cs="Arial"/>
          <w:sz w:val="18"/>
          <w:szCs w:val="18"/>
        </w:rPr>
        <w:t>se</w:t>
      </w:r>
      <w:r>
        <w:rPr>
          <w:rFonts w:ascii="Arial" w:hAnsi="Arial" w:cs="Arial"/>
          <w:sz w:val="18"/>
          <w:szCs w:val="18"/>
        </w:rPr>
        <w:t xml:space="preserve"> </w:t>
      </w:r>
      <w:r w:rsidRPr="002A1090">
        <w:rPr>
          <w:rFonts w:ascii="Arial" w:hAnsi="Arial" w:cs="Arial"/>
          <w:sz w:val="18"/>
          <w:szCs w:val="18"/>
        </w:rPr>
        <w:t>debe tomar la calificación a escala nacional efectuada por una sociedad calificadora de riesgos autorizada por la SFC</w:t>
      </w:r>
      <w:r>
        <w:rPr>
          <w:rFonts w:ascii="Arial" w:hAnsi="Arial" w:cs="Arial"/>
          <w:sz w:val="18"/>
          <w:szCs w:val="18"/>
        </w:rPr>
        <w:t xml:space="preserve">. </w:t>
      </w:r>
      <w:r w:rsidRPr="002A1090">
        <w:rPr>
          <w:rFonts w:ascii="Arial" w:hAnsi="Arial" w:cs="Arial"/>
          <w:sz w:val="18"/>
          <w:szCs w:val="18"/>
        </w:rPr>
        <w:t>P</w:t>
      </w:r>
      <w:r w:rsidR="00D06E98" w:rsidRPr="002A1090">
        <w:rPr>
          <w:rFonts w:ascii="Arial" w:hAnsi="Arial" w:cs="Arial"/>
          <w:sz w:val="18"/>
          <w:szCs w:val="18"/>
        </w:rPr>
        <w:t>ara las entidad</w:t>
      </w:r>
      <w:r w:rsidRPr="002A1090">
        <w:rPr>
          <w:rFonts w:ascii="Arial" w:hAnsi="Arial" w:cs="Arial"/>
          <w:sz w:val="18"/>
          <w:szCs w:val="18"/>
        </w:rPr>
        <w:t xml:space="preserve">es ubicadas en el exterior y </w:t>
      </w:r>
      <w:r w:rsidR="00D06E98" w:rsidRPr="002A1090">
        <w:rPr>
          <w:rFonts w:ascii="Arial" w:hAnsi="Arial" w:cs="Arial"/>
          <w:sz w:val="18"/>
          <w:szCs w:val="18"/>
        </w:rPr>
        <w:t>los títulos emitidos y colo</w:t>
      </w:r>
      <w:r w:rsidR="00E14E9A" w:rsidRPr="007505AA">
        <w:rPr>
          <w:rFonts w:ascii="Arial" w:hAnsi="Arial" w:cs="Arial"/>
          <w:sz w:val="18"/>
          <w:szCs w:val="18"/>
        </w:rPr>
        <w:t>cados en el exterior por ellas</w:t>
      </w:r>
      <w:r w:rsidR="00E14E9A">
        <w:rPr>
          <w:rFonts w:ascii="Arial" w:hAnsi="Arial" w:cs="Arial"/>
          <w:sz w:val="18"/>
          <w:szCs w:val="18"/>
        </w:rPr>
        <w:t>,</w:t>
      </w:r>
      <w:r w:rsidR="00E14E9A" w:rsidRPr="007505AA">
        <w:rPr>
          <w:rFonts w:ascii="Arial" w:hAnsi="Arial" w:cs="Arial"/>
          <w:sz w:val="18"/>
          <w:szCs w:val="18"/>
        </w:rPr>
        <w:t xml:space="preserve"> </w:t>
      </w:r>
      <w:r w:rsidR="00AB634A">
        <w:rPr>
          <w:rFonts w:ascii="Arial" w:hAnsi="Arial" w:cs="Arial"/>
          <w:sz w:val="18"/>
          <w:szCs w:val="18"/>
        </w:rPr>
        <w:t xml:space="preserve">se </w:t>
      </w:r>
      <w:r w:rsidR="00D06E98" w:rsidRPr="002A1090">
        <w:rPr>
          <w:rFonts w:ascii="Arial" w:hAnsi="Arial" w:cs="Arial"/>
          <w:sz w:val="18"/>
          <w:szCs w:val="18"/>
        </w:rPr>
        <w:t>debe</w:t>
      </w:r>
      <w:r w:rsidRPr="002A1090">
        <w:rPr>
          <w:rFonts w:ascii="Arial" w:hAnsi="Arial" w:cs="Arial"/>
          <w:sz w:val="18"/>
          <w:szCs w:val="18"/>
        </w:rPr>
        <w:t xml:space="preserve"> utilizar</w:t>
      </w:r>
      <w:r w:rsidR="00D06E98" w:rsidRPr="002A1090">
        <w:rPr>
          <w:rFonts w:ascii="Arial" w:hAnsi="Arial" w:cs="Arial"/>
          <w:sz w:val="18"/>
          <w:szCs w:val="18"/>
        </w:rPr>
        <w:t xml:space="preserve"> </w:t>
      </w:r>
      <w:r w:rsidR="00136471" w:rsidRPr="002A1090">
        <w:rPr>
          <w:rFonts w:ascii="Arial" w:hAnsi="Arial" w:cs="Arial"/>
          <w:sz w:val="18"/>
          <w:szCs w:val="18"/>
        </w:rPr>
        <w:t xml:space="preserve">la calificación internacional efectuada por una </w:t>
      </w:r>
      <w:r w:rsidR="00740529">
        <w:rPr>
          <w:rFonts w:ascii="Arial" w:hAnsi="Arial" w:cs="Arial"/>
          <w:sz w:val="18"/>
          <w:szCs w:val="18"/>
        </w:rPr>
        <w:t xml:space="preserve">sociedad </w:t>
      </w:r>
      <w:r w:rsidR="00136471" w:rsidRPr="002A1090">
        <w:rPr>
          <w:rFonts w:ascii="Arial" w:hAnsi="Arial" w:cs="Arial"/>
          <w:sz w:val="18"/>
          <w:szCs w:val="18"/>
        </w:rPr>
        <w:t>calificadora de riesgos internacionalmente reconocida</w:t>
      </w:r>
      <w:r w:rsidR="00E14E9A" w:rsidRPr="002A1090">
        <w:rPr>
          <w:rFonts w:ascii="Arial" w:hAnsi="Arial" w:cs="Arial"/>
          <w:sz w:val="18"/>
          <w:szCs w:val="18"/>
        </w:rPr>
        <w:t>.</w:t>
      </w:r>
    </w:p>
    <w:p w14:paraId="2A989D14" w14:textId="77777777" w:rsidR="00E14E9A" w:rsidRPr="00BC28E9" w:rsidRDefault="00E14E9A">
      <w:pPr>
        <w:jc w:val="both"/>
        <w:rPr>
          <w:rFonts w:ascii="Arial" w:hAnsi="Arial" w:cs="Arial"/>
          <w:sz w:val="14"/>
          <w:szCs w:val="18"/>
        </w:rPr>
      </w:pPr>
    </w:p>
    <w:p w14:paraId="3BCEE3AE" w14:textId="77777777" w:rsidR="005322E0" w:rsidRDefault="005322E0" w:rsidP="005322E0">
      <w:pPr>
        <w:jc w:val="both"/>
        <w:rPr>
          <w:rFonts w:ascii="Arial" w:hAnsi="Arial" w:cs="Arial"/>
          <w:sz w:val="18"/>
          <w:szCs w:val="18"/>
        </w:rPr>
      </w:pPr>
      <w:r w:rsidRPr="002A5D07">
        <w:rPr>
          <w:rFonts w:ascii="Arial" w:hAnsi="Arial" w:cs="Arial"/>
          <w:sz w:val="18"/>
          <w:szCs w:val="18"/>
        </w:rPr>
        <w:t xml:space="preserve">Tanto las calificaciones </w:t>
      </w:r>
      <w:r>
        <w:rPr>
          <w:rFonts w:ascii="Arial" w:hAnsi="Arial" w:cs="Arial"/>
          <w:sz w:val="18"/>
          <w:szCs w:val="18"/>
        </w:rPr>
        <w:t xml:space="preserve">de riesgo </w:t>
      </w:r>
      <w:r w:rsidRPr="002A5D07">
        <w:rPr>
          <w:rFonts w:ascii="Arial" w:hAnsi="Arial" w:cs="Arial"/>
          <w:sz w:val="18"/>
          <w:szCs w:val="18"/>
        </w:rPr>
        <w:t>a escala nacional como las internacionales deben cumplir con los requisitos de revisión periódica y extraordinaria.</w:t>
      </w:r>
    </w:p>
    <w:p w14:paraId="0B0154C5" w14:textId="77777777" w:rsidR="005322E0" w:rsidRPr="00BC28E9" w:rsidRDefault="005322E0" w:rsidP="005322E0">
      <w:pPr>
        <w:jc w:val="both"/>
        <w:rPr>
          <w:rFonts w:ascii="Arial" w:hAnsi="Arial" w:cs="Arial"/>
          <w:sz w:val="14"/>
          <w:szCs w:val="18"/>
        </w:rPr>
      </w:pPr>
    </w:p>
    <w:p w14:paraId="4D1DB2C7" w14:textId="77777777" w:rsidR="00A623A8" w:rsidRPr="002A1090" w:rsidRDefault="00A623A8">
      <w:pPr>
        <w:jc w:val="both"/>
        <w:rPr>
          <w:rFonts w:ascii="Arial" w:hAnsi="Arial" w:cs="Arial"/>
          <w:sz w:val="18"/>
          <w:szCs w:val="18"/>
        </w:rPr>
      </w:pPr>
      <w:r w:rsidRPr="00A03405">
        <w:rPr>
          <w:rFonts w:ascii="Arial" w:hAnsi="Arial" w:cs="Arial"/>
          <w:sz w:val="18"/>
          <w:szCs w:val="18"/>
        </w:rPr>
        <w:t xml:space="preserve">Para las </w:t>
      </w:r>
      <w:r w:rsidR="005322E0" w:rsidRPr="00A03405">
        <w:rPr>
          <w:rFonts w:ascii="Arial" w:hAnsi="Arial" w:cs="Arial"/>
          <w:sz w:val="18"/>
          <w:szCs w:val="18"/>
        </w:rPr>
        <w:t xml:space="preserve">contrapartes </w:t>
      </w:r>
      <w:r w:rsidRPr="00A03405">
        <w:rPr>
          <w:rFonts w:ascii="Arial" w:hAnsi="Arial" w:cs="Arial"/>
          <w:sz w:val="18"/>
          <w:szCs w:val="18"/>
        </w:rPr>
        <w:t xml:space="preserve">ubicadas en Colombia y con </w:t>
      </w:r>
      <w:r w:rsidR="005322E0" w:rsidRPr="00A03405">
        <w:rPr>
          <w:rFonts w:ascii="Arial" w:hAnsi="Arial" w:cs="Arial"/>
          <w:sz w:val="18"/>
          <w:szCs w:val="18"/>
        </w:rPr>
        <w:t xml:space="preserve">títulos </w:t>
      </w:r>
      <w:r w:rsidRPr="00A03405">
        <w:rPr>
          <w:rFonts w:ascii="Arial" w:hAnsi="Arial" w:cs="Arial"/>
          <w:sz w:val="18"/>
          <w:szCs w:val="18"/>
        </w:rPr>
        <w:t>emitidos y colocados</w:t>
      </w:r>
      <w:r w:rsidR="005322E0" w:rsidRPr="00A03405">
        <w:rPr>
          <w:rFonts w:ascii="Arial" w:hAnsi="Arial" w:cs="Arial"/>
          <w:sz w:val="18"/>
          <w:szCs w:val="18"/>
        </w:rPr>
        <w:t xml:space="preserve"> en el exterior por ellas</w:t>
      </w:r>
      <w:r w:rsidR="00CF6537">
        <w:rPr>
          <w:rFonts w:ascii="Arial" w:hAnsi="Arial" w:cs="Arial"/>
          <w:sz w:val="18"/>
          <w:szCs w:val="18"/>
        </w:rPr>
        <w:t>,</w:t>
      </w:r>
      <w:r w:rsidR="002A2885" w:rsidRPr="00A03405">
        <w:rPr>
          <w:rFonts w:ascii="Arial" w:hAnsi="Arial" w:cs="Arial"/>
          <w:sz w:val="18"/>
          <w:szCs w:val="18"/>
        </w:rPr>
        <w:t xml:space="preserve"> se</w:t>
      </w:r>
      <w:r w:rsidRPr="00A03405">
        <w:rPr>
          <w:rFonts w:ascii="Arial" w:hAnsi="Arial" w:cs="Arial"/>
          <w:sz w:val="18"/>
          <w:szCs w:val="18"/>
        </w:rPr>
        <w:t xml:space="preserve"> debe utilizar la calificación de ries</w:t>
      </w:r>
      <w:r w:rsidR="0046638C">
        <w:rPr>
          <w:rFonts w:ascii="Arial" w:hAnsi="Arial" w:cs="Arial"/>
          <w:sz w:val="18"/>
          <w:szCs w:val="18"/>
        </w:rPr>
        <w:t xml:space="preserve">go del emisor a escala nacional, </w:t>
      </w:r>
      <w:r w:rsidRPr="00A03405">
        <w:rPr>
          <w:rFonts w:ascii="Arial" w:hAnsi="Arial" w:cs="Arial"/>
          <w:sz w:val="18"/>
          <w:szCs w:val="18"/>
        </w:rPr>
        <w:t xml:space="preserve">efectuada por una sociedad calificadora de riesgos autorizada por la </w:t>
      </w:r>
      <w:r w:rsidRPr="00E51F8C">
        <w:rPr>
          <w:rFonts w:ascii="Arial" w:hAnsi="Arial" w:cs="Arial"/>
          <w:sz w:val="18"/>
          <w:szCs w:val="18"/>
        </w:rPr>
        <w:t>SFC</w:t>
      </w:r>
      <w:r w:rsidR="0046638C" w:rsidRPr="00E51F8C">
        <w:rPr>
          <w:rFonts w:ascii="Arial" w:hAnsi="Arial" w:cs="Arial"/>
          <w:sz w:val="18"/>
          <w:szCs w:val="18"/>
        </w:rPr>
        <w:t>. E</w:t>
      </w:r>
      <w:r w:rsidR="00804FBD" w:rsidRPr="00E51F8C">
        <w:rPr>
          <w:rFonts w:ascii="Arial" w:hAnsi="Arial" w:cs="Arial"/>
          <w:sz w:val="18"/>
          <w:szCs w:val="18"/>
        </w:rPr>
        <w:t>n el caso de la deuda subordinada</w:t>
      </w:r>
      <w:r w:rsidR="0046638C" w:rsidRPr="00E51F8C">
        <w:rPr>
          <w:rFonts w:ascii="Arial" w:hAnsi="Arial" w:cs="Arial"/>
          <w:sz w:val="18"/>
          <w:szCs w:val="18"/>
        </w:rPr>
        <w:t xml:space="preserve"> de dichas contrapartes</w:t>
      </w:r>
      <w:r w:rsidR="00CF6537">
        <w:rPr>
          <w:rFonts w:ascii="Arial" w:hAnsi="Arial" w:cs="Arial"/>
          <w:sz w:val="18"/>
          <w:szCs w:val="18"/>
        </w:rPr>
        <w:t>,</w:t>
      </w:r>
      <w:r w:rsidR="0046638C" w:rsidRPr="00E51F8C">
        <w:rPr>
          <w:rFonts w:ascii="Arial" w:hAnsi="Arial" w:cs="Arial"/>
          <w:sz w:val="18"/>
          <w:szCs w:val="18"/>
        </w:rPr>
        <w:t xml:space="preserve"> </w:t>
      </w:r>
      <w:r w:rsidR="00F53F3E" w:rsidRPr="00E51F8C">
        <w:rPr>
          <w:rFonts w:ascii="Arial" w:hAnsi="Arial" w:cs="Arial"/>
          <w:sz w:val="18"/>
          <w:szCs w:val="18"/>
        </w:rPr>
        <w:t>se debe utilizar</w:t>
      </w:r>
      <w:r w:rsidR="0046638C" w:rsidRPr="00E51F8C">
        <w:rPr>
          <w:rFonts w:ascii="Arial" w:hAnsi="Arial" w:cs="Arial"/>
          <w:sz w:val="18"/>
          <w:szCs w:val="18"/>
        </w:rPr>
        <w:t xml:space="preserve"> la</w:t>
      </w:r>
      <w:r w:rsidR="008C3735" w:rsidRPr="00E51F8C">
        <w:rPr>
          <w:rFonts w:ascii="Arial" w:hAnsi="Arial" w:cs="Arial"/>
          <w:sz w:val="18"/>
          <w:szCs w:val="18"/>
        </w:rPr>
        <w:t xml:space="preserve"> referida</w:t>
      </w:r>
      <w:r w:rsidR="0046638C" w:rsidRPr="00E51F8C">
        <w:rPr>
          <w:rFonts w:ascii="Arial" w:hAnsi="Arial" w:cs="Arial"/>
          <w:sz w:val="18"/>
          <w:szCs w:val="18"/>
        </w:rPr>
        <w:t xml:space="preserve"> calificación de riesgo del emisor a escala nacional, </w:t>
      </w:r>
      <w:r w:rsidR="00F53F3E" w:rsidRPr="00E51F8C">
        <w:rPr>
          <w:rFonts w:ascii="Arial" w:hAnsi="Arial" w:cs="Arial"/>
          <w:sz w:val="18"/>
          <w:szCs w:val="18"/>
        </w:rPr>
        <w:t>deteriorada en la misma cantidad de escalas que exista entre la calificación internacional del emisor y la calificación internacional del instrumento</w:t>
      </w:r>
      <w:r w:rsidR="00804FBD" w:rsidRPr="00E51F8C">
        <w:rPr>
          <w:rFonts w:ascii="Arial" w:hAnsi="Arial" w:cs="Arial"/>
          <w:sz w:val="18"/>
          <w:szCs w:val="18"/>
        </w:rPr>
        <w:t xml:space="preserve"> </w:t>
      </w:r>
      <w:r w:rsidR="00067842">
        <w:rPr>
          <w:rFonts w:ascii="Arial" w:hAnsi="Arial" w:cs="Arial"/>
          <w:sz w:val="18"/>
          <w:szCs w:val="18"/>
        </w:rPr>
        <w:t xml:space="preserve">de deuda subordinada </w:t>
      </w:r>
      <w:r w:rsidR="00804FBD" w:rsidRPr="00E51F8C">
        <w:rPr>
          <w:rFonts w:ascii="Arial" w:hAnsi="Arial" w:cs="Arial"/>
          <w:sz w:val="18"/>
          <w:szCs w:val="18"/>
        </w:rPr>
        <w:t xml:space="preserve">efectuada por una </w:t>
      </w:r>
      <w:r w:rsidR="0046638C" w:rsidRPr="00E51F8C">
        <w:rPr>
          <w:rFonts w:ascii="Arial" w:hAnsi="Arial" w:cs="Arial"/>
          <w:sz w:val="18"/>
          <w:szCs w:val="18"/>
        </w:rPr>
        <w:t xml:space="preserve">sociedad </w:t>
      </w:r>
      <w:r w:rsidR="00804FBD" w:rsidRPr="00E51F8C">
        <w:rPr>
          <w:rFonts w:ascii="Arial" w:hAnsi="Arial" w:cs="Arial"/>
          <w:sz w:val="18"/>
          <w:szCs w:val="18"/>
        </w:rPr>
        <w:t>calificadora internacionalmente reconocida.</w:t>
      </w:r>
    </w:p>
    <w:p w14:paraId="07605264" w14:textId="77777777" w:rsidR="007B683C" w:rsidRPr="00BC28E9" w:rsidRDefault="007B683C" w:rsidP="007B683C">
      <w:pPr>
        <w:jc w:val="both"/>
        <w:rPr>
          <w:rFonts w:ascii="Arial" w:hAnsi="Arial" w:cs="Arial"/>
          <w:sz w:val="14"/>
          <w:szCs w:val="18"/>
        </w:rPr>
      </w:pPr>
    </w:p>
    <w:p w14:paraId="15456E7E" w14:textId="77777777" w:rsidR="007B683C" w:rsidRPr="001B6743" w:rsidRDefault="007B683C" w:rsidP="007B683C">
      <w:pPr>
        <w:pStyle w:val="Textoindependiente3"/>
        <w:tabs>
          <w:tab w:val="left" w:pos="-720"/>
        </w:tabs>
        <w:suppressAutoHyphens/>
        <w:spacing w:after="0"/>
        <w:jc w:val="both"/>
        <w:rPr>
          <w:rFonts w:ascii="Arial" w:hAnsi="Arial" w:cs="Arial"/>
          <w:sz w:val="18"/>
          <w:szCs w:val="18"/>
        </w:rPr>
      </w:pPr>
      <w:r w:rsidRPr="001B6743">
        <w:rPr>
          <w:rFonts w:ascii="Arial" w:hAnsi="Arial" w:cs="Arial"/>
          <w:sz w:val="18"/>
          <w:szCs w:val="18"/>
        </w:rPr>
        <w:t xml:space="preserve">Para </w:t>
      </w:r>
      <w:r w:rsidR="005322E0" w:rsidRPr="001B6743">
        <w:rPr>
          <w:rFonts w:ascii="Arial" w:hAnsi="Arial" w:cs="Arial"/>
          <w:sz w:val="18"/>
          <w:szCs w:val="18"/>
        </w:rPr>
        <w:t xml:space="preserve">los </w:t>
      </w:r>
      <w:r w:rsidR="00B7075C">
        <w:rPr>
          <w:rFonts w:ascii="Arial" w:hAnsi="Arial" w:cs="Arial"/>
          <w:sz w:val="18"/>
          <w:szCs w:val="18"/>
        </w:rPr>
        <w:t>créditos</w:t>
      </w:r>
      <w:r w:rsidR="00385D39">
        <w:rPr>
          <w:rFonts w:ascii="Arial" w:hAnsi="Arial" w:cs="Arial"/>
          <w:sz w:val="18"/>
          <w:szCs w:val="18"/>
        </w:rPr>
        <w:t xml:space="preserve">, </w:t>
      </w:r>
      <w:r w:rsidR="00B7075C">
        <w:rPr>
          <w:rFonts w:ascii="Arial" w:hAnsi="Arial" w:cs="Arial"/>
          <w:sz w:val="18"/>
          <w:szCs w:val="18"/>
        </w:rPr>
        <w:t>inversiones</w:t>
      </w:r>
      <w:r w:rsidR="00B7075C" w:rsidRPr="001B6743">
        <w:rPr>
          <w:rFonts w:ascii="Arial" w:hAnsi="Arial" w:cs="Arial"/>
          <w:sz w:val="18"/>
          <w:szCs w:val="18"/>
        </w:rPr>
        <w:t xml:space="preserve"> </w:t>
      </w:r>
      <w:r w:rsidR="00385D39">
        <w:rPr>
          <w:rFonts w:ascii="Arial" w:hAnsi="Arial" w:cs="Arial"/>
          <w:sz w:val="18"/>
          <w:szCs w:val="18"/>
        </w:rPr>
        <w:t xml:space="preserve">y contingencias </w:t>
      </w:r>
      <w:r w:rsidR="005322E0">
        <w:rPr>
          <w:rFonts w:ascii="Arial" w:hAnsi="Arial" w:cs="Arial"/>
          <w:sz w:val="18"/>
          <w:szCs w:val="18"/>
        </w:rPr>
        <w:t xml:space="preserve">de contrapartes </w:t>
      </w:r>
      <w:r w:rsidR="0012160B">
        <w:rPr>
          <w:rFonts w:ascii="Arial" w:hAnsi="Arial" w:cs="Arial"/>
          <w:sz w:val="18"/>
          <w:szCs w:val="18"/>
        </w:rPr>
        <w:t>ubicadas en</w:t>
      </w:r>
      <w:r w:rsidR="005322E0">
        <w:rPr>
          <w:rFonts w:ascii="Arial" w:hAnsi="Arial" w:cs="Arial"/>
          <w:sz w:val="18"/>
          <w:szCs w:val="18"/>
        </w:rPr>
        <w:t xml:space="preserve"> Colombia</w:t>
      </w:r>
      <w:r w:rsidR="00740529">
        <w:rPr>
          <w:rFonts w:ascii="Arial" w:hAnsi="Arial" w:cs="Arial"/>
          <w:sz w:val="18"/>
          <w:szCs w:val="18"/>
        </w:rPr>
        <w:t>,</w:t>
      </w:r>
      <w:r w:rsidR="0012160B">
        <w:rPr>
          <w:rFonts w:ascii="Arial" w:hAnsi="Arial" w:cs="Arial"/>
          <w:sz w:val="18"/>
          <w:szCs w:val="18"/>
        </w:rPr>
        <w:t xml:space="preserve"> </w:t>
      </w:r>
      <w:r w:rsidR="00B7075C">
        <w:rPr>
          <w:rFonts w:ascii="Arial" w:hAnsi="Arial" w:cs="Arial"/>
          <w:sz w:val="18"/>
          <w:szCs w:val="18"/>
        </w:rPr>
        <w:t xml:space="preserve">realizados </w:t>
      </w:r>
      <w:r w:rsidR="00E07409">
        <w:rPr>
          <w:rFonts w:ascii="Arial" w:hAnsi="Arial" w:cs="Arial"/>
          <w:sz w:val="18"/>
          <w:szCs w:val="18"/>
        </w:rPr>
        <w:t xml:space="preserve">por </w:t>
      </w:r>
      <w:r w:rsidRPr="001B6743">
        <w:rPr>
          <w:rFonts w:ascii="Arial" w:hAnsi="Arial" w:cs="Arial"/>
          <w:sz w:val="18"/>
          <w:szCs w:val="18"/>
        </w:rPr>
        <w:t>las sucursales</w:t>
      </w:r>
      <w:r w:rsidR="005322E0">
        <w:rPr>
          <w:rFonts w:ascii="Arial" w:hAnsi="Arial" w:cs="Arial"/>
          <w:sz w:val="18"/>
          <w:szCs w:val="18"/>
        </w:rPr>
        <w:t xml:space="preserve"> </w:t>
      </w:r>
      <w:r w:rsidR="00B7075C">
        <w:rPr>
          <w:rFonts w:ascii="Arial" w:hAnsi="Arial" w:cs="Arial"/>
          <w:sz w:val="18"/>
          <w:szCs w:val="18"/>
        </w:rPr>
        <w:t>o subordinadas</w:t>
      </w:r>
      <w:r w:rsidRPr="001B6743">
        <w:rPr>
          <w:rFonts w:ascii="Arial" w:hAnsi="Arial" w:cs="Arial"/>
          <w:sz w:val="18"/>
          <w:szCs w:val="18"/>
        </w:rPr>
        <w:t xml:space="preserve"> del exterior</w:t>
      </w:r>
      <w:r w:rsidR="00740529">
        <w:rPr>
          <w:rFonts w:ascii="Arial" w:hAnsi="Arial" w:cs="Arial"/>
          <w:sz w:val="18"/>
          <w:szCs w:val="18"/>
        </w:rPr>
        <w:t>,</w:t>
      </w:r>
      <w:r w:rsidRPr="001B6743">
        <w:rPr>
          <w:rFonts w:ascii="Arial" w:hAnsi="Arial" w:cs="Arial"/>
          <w:sz w:val="18"/>
          <w:szCs w:val="18"/>
        </w:rPr>
        <w:t xml:space="preserve"> </w:t>
      </w:r>
      <w:r w:rsidR="005322E0">
        <w:rPr>
          <w:rFonts w:ascii="Arial" w:hAnsi="Arial" w:cs="Arial"/>
          <w:sz w:val="18"/>
          <w:szCs w:val="18"/>
        </w:rPr>
        <w:t xml:space="preserve">se </w:t>
      </w:r>
      <w:r w:rsidR="00740529">
        <w:rPr>
          <w:rFonts w:ascii="Arial" w:hAnsi="Arial" w:cs="Arial"/>
          <w:sz w:val="18"/>
          <w:szCs w:val="18"/>
        </w:rPr>
        <w:t>debe</w:t>
      </w:r>
      <w:r w:rsidRPr="001B6743">
        <w:rPr>
          <w:rFonts w:ascii="Arial" w:hAnsi="Arial" w:cs="Arial"/>
          <w:sz w:val="18"/>
          <w:szCs w:val="18"/>
        </w:rPr>
        <w:t xml:space="preserve"> </w:t>
      </w:r>
      <w:r w:rsidR="00E07409">
        <w:rPr>
          <w:rFonts w:ascii="Arial" w:hAnsi="Arial" w:cs="Arial"/>
          <w:sz w:val="18"/>
          <w:szCs w:val="18"/>
        </w:rPr>
        <w:t xml:space="preserve">tomar </w:t>
      </w:r>
      <w:r w:rsidR="00450E98" w:rsidRPr="001B6743">
        <w:rPr>
          <w:rFonts w:ascii="Arial" w:hAnsi="Arial" w:cs="Arial"/>
          <w:sz w:val="18"/>
          <w:szCs w:val="18"/>
        </w:rPr>
        <w:t>la calificación a escala nacional otorgada por una sociedad calificadora autorizada por la SFC</w:t>
      </w:r>
      <w:r w:rsidR="005322E0">
        <w:rPr>
          <w:rFonts w:ascii="Arial" w:hAnsi="Arial" w:cs="Arial"/>
          <w:sz w:val="18"/>
          <w:szCs w:val="18"/>
        </w:rPr>
        <w:t xml:space="preserve">. </w:t>
      </w:r>
      <w:r w:rsidR="00E51F8C">
        <w:rPr>
          <w:rFonts w:ascii="Arial" w:hAnsi="Arial" w:cs="Arial"/>
          <w:sz w:val="18"/>
          <w:szCs w:val="18"/>
        </w:rPr>
        <w:t>C</w:t>
      </w:r>
      <w:r w:rsidR="00740529">
        <w:rPr>
          <w:rFonts w:ascii="Arial" w:hAnsi="Arial" w:cs="Arial"/>
          <w:sz w:val="18"/>
          <w:szCs w:val="18"/>
        </w:rPr>
        <w:t>uando las contrapartes</w:t>
      </w:r>
      <w:r w:rsidR="00E07409">
        <w:rPr>
          <w:rFonts w:ascii="Arial" w:hAnsi="Arial" w:cs="Arial"/>
          <w:sz w:val="18"/>
          <w:szCs w:val="18"/>
        </w:rPr>
        <w:t xml:space="preserve"> </w:t>
      </w:r>
      <w:r w:rsidR="005322E0">
        <w:rPr>
          <w:rFonts w:ascii="Arial" w:hAnsi="Arial" w:cs="Arial"/>
          <w:sz w:val="18"/>
          <w:szCs w:val="18"/>
        </w:rPr>
        <w:t>no estén ubicada</w:t>
      </w:r>
      <w:r w:rsidR="00E07409">
        <w:rPr>
          <w:rFonts w:ascii="Arial" w:hAnsi="Arial" w:cs="Arial"/>
          <w:sz w:val="18"/>
          <w:szCs w:val="18"/>
        </w:rPr>
        <w:t>s</w:t>
      </w:r>
      <w:r w:rsidR="005322E0">
        <w:rPr>
          <w:rFonts w:ascii="Arial" w:hAnsi="Arial" w:cs="Arial"/>
          <w:sz w:val="18"/>
          <w:szCs w:val="18"/>
        </w:rPr>
        <w:t xml:space="preserve"> </w:t>
      </w:r>
      <w:r w:rsidR="00E07409">
        <w:rPr>
          <w:rFonts w:ascii="Arial" w:hAnsi="Arial" w:cs="Arial"/>
          <w:sz w:val="18"/>
          <w:szCs w:val="18"/>
        </w:rPr>
        <w:t xml:space="preserve">en Colombia </w:t>
      </w:r>
      <w:r w:rsidRPr="001B6743">
        <w:rPr>
          <w:rFonts w:ascii="Arial" w:hAnsi="Arial" w:cs="Arial"/>
          <w:sz w:val="18"/>
          <w:szCs w:val="18"/>
        </w:rPr>
        <w:t>se debe</w:t>
      </w:r>
      <w:r w:rsidR="00E51F8C">
        <w:rPr>
          <w:rFonts w:ascii="Arial" w:hAnsi="Arial" w:cs="Arial"/>
          <w:sz w:val="18"/>
          <w:szCs w:val="18"/>
        </w:rPr>
        <w:t>: i)</w:t>
      </w:r>
      <w:r w:rsidRPr="001B6743">
        <w:rPr>
          <w:rFonts w:ascii="Arial" w:hAnsi="Arial" w:cs="Arial"/>
          <w:sz w:val="18"/>
          <w:szCs w:val="18"/>
        </w:rPr>
        <w:t xml:space="preserve"> </w:t>
      </w:r>
      <w:r w:rsidR="0012160B">
        <w:rPr>
          <w:rFonts w:ascii="Arial" w:hAnsi="Arial" w:cs="Arial"/>
          <w:sz w:val="18"/>
          <w:szCs w:val="18"/>
        </w:rPr>
        <w:t>utilizar</w:t>
      </w:r>
      <w:r w:rsidR="00740529">
        <w:rPr>
          <w:rFonts w:ascii="Arial" w:hAnsi="Arial" w:cs="Arial"/>
          <w:sz w:val="18"/>
          <w:szCs w:val="18"/>
        </w:rPr>
        <w:t xml:space="preserve"> la calificación internacional</w:t>
      </w:r>
      <w:r w:rsidRPr="001B6743">
        <w:rPr>
          <w:rFonts w:ascii="Arial" w:hAnsi="Arial" w:cs="Arial"/>
          <w:sz w:val="18"/>
          <w:szCs w:val="18"/>
        </w:rPr>
        <w:t xml:space="preserve"> otorgada por una </w:t>
      </w:r>
      <w:r w:rsidR="00740529">
        <w:rPr>
          <w:rFonts w:ascii="Arial" w:hAnsi="Arial" w:cs="Arial"/>
          <w:sz w:val="18"/>
          <w:szCs w:val="18"/>
        </w:rPr>
        <w:t xml:space="preserve">sociedad </w:t>
      </w:r>
      <w:r w:rsidRPr="001B6743">
        <w:rPr>
          <w:rFonts w:ascii="Arial" w:hAnsi="Arial" w:cs="Arial"/>
          <w:sz w:val="18"/>
          <w:szCs w:val="18"/>
        </w:rPr>
        <w:t>calificadora internacionalmente reconocida</w:t>
      </w:r>
      <w:r w:rsidR="00E51F8C">
        <w:rPr>
          <w:rFonts w:ascii="Arial" w:hAnsi="Arial" w:cs="Arial"/>
          <w:sz w:val="18"/>
          <w:szCs w:val="18"/>
        </w:rPr>
        <w:t xml:space="preserve"> en los casos en que sea a través</w:t>
      </w:r>
      <w:r w:rsidR="00CF6537">
        <w:rPr>
          <w:rFonts w:ascii="Arial" w:hAnsi="Arial" w:cs="Arial"/>
          <w:sz w:val="18"/>
          <w:szCs w:val="18"/>
        </w:rPr>
        <w:t xml:space="preserve"> de</w:t>
      </w:r>
      <w:r w:rsidR="00E51F8C">
        <w:rPr>
          <w:rFonts w:ascii="Arial" w:hAnsi="Arial" w:cs="Arial"/>
          <w:sz w:val="18"/>
          <w:szCs w:val="18"/>
        </w:rPr>
        <w:t xml:space="preserve"> las sucursales, o </w:t>
      </w:r>
      <w:proofErr w:type="spellStart"/>
      <w:r w:rsidR="00E51F8C">
        <w:rPr>
          <w:rFonts w:ascii="Arial" w:hAnsi="Arial" w:cs="Arial"/>
          <w:sz w:val="18"/>
          <w:szCs w:val="18"/>
        </w:rPr>
        <w:t>ii</w:t>
      </w:r>
      <w:proofErr w:type="spellEnd"/>
      <w:r w:rsidR="00E51F8C">
        <w:rPr>
          <w:rFonts w:ascii="Arial" w:hAnsi="Arial" w:cs="Arial"/>
          <w:sz w:val="18"/>
          <w:szCs w:val="18"/>
        </w:rPr>
        <w:t xml:space="preserve">) dar cumplimiento a las instrucciones señaladas en el </w:t>
      </w:r>
      <w:proofErr w:type="spellStart"/>
      <w:r w:rsidR="00E51F8C">
        <w:rPr>
          <w:rFonts w:ascii="Arial" w:hAnsi="Arial" w:cs="Arial"/>
          <w:sz w:val="18"/>
          <w:szCs w:val="18"/>
        </w:rPr>
        <w:t>subnumeral</w:t>
      </w:r>
      <w:proofErr w:type="spellEnd"/>
      <w:r w:rsidR="00E51F8C">
        <w:rPr>
          <w:rFonts w:ascii="Arial" w:hAnsi="Arial" w:cs="Arial"/>
          <w:sz w:val="18"/>
          <w:szCs w:val="18"/>
        </w:rPr>
        <w:t xml:space="preserve"> 2.4.4.1 del presente Capítulo.</w:t>
      </w:r>
    </w:p>
    <w:p w14:paraId="23AC990A" w14:textId="77777777" w:rsidR="00D754A0" w:rsidRPr="00BC28E9" w:rsidRDefault="00D754A0" w:rsidP="00450E98">
      <w:pPr>
        <w:pStyle w:val="Textoindependiente3"/>
        <w:tabs>
          <w:tab w:val="left" w:pos="-720"/>
        </w:tabs>
        <w:suppressAutoHyphens/>
        <w:spacing w:after="0"/>
        <w:jc w:val="both"/>
        <w:rPr>
          <w:rFonts w:ascii="Arial" w:hAnsi="Arial" w:cs="Arial"/>
          <w:sz w:val="14"/>
          <w:szCs w:val="18"/>
        </w:rPr>
      </w:pPr>
    </w:p>
    <w:p w14:paraId="2F77D021" w14:textId="77777777" w:rsidR="00450E98" w:rsidRDefault="002A2885" w:rsidP="00450E98">
      <w:pPr>
        <w:pStyle w:val="Textoindependiente3"/>
        <w:tabs>
          <w:tab w:val="left" w:pos="-720"/>
        </w:tabs>
        <w:suppressAutoHyphens/>
        <w:spacing w:after="0"/>
        <w:jc w:val="both"/>
        <w:rPr>
          <w:rFonts w:ascii="Arial" w:hAnsi="Arial" w:cs="Arial"/>
          <w:sz w:val="18"/>
          <w:szCs w:val="18"/>
        </w:rPr>
      </w:pPr>
      <w:r>
        <w:rPr>
          <w:rFonts w:ascii="Arial" w:hAnsi="Arial" w:cs="Arial"/>
          <w:sz w:val="18"/>
          <w:szCs w:val="18"/>
        </w:rPr>
        <w:t>Para los</w:t>
      </w:r>
      <w:r w:rsidRPr="001B6743">
        <w:rPr>
          <w:rFonts w:ascii="Arial" w:hAnsi="Arial" w:cs="Arial"/>
          <w:sz w:val="18"/>
          <w:szCs w:val="18"/>
        </w:rPr>
        <w:t xml:space="preserve"> activos, exposiciones y contingencias</w:t>
      </w:r>
      <w:r>
        <w:rPr>
          <w:rFonts w:ascii="Arial" w:hAnsi="Arial" w:cs="Arial"/>
          <w:sz w:val="18"/>
          <w:szCs w:val="18"/>
        </w:rPr>
        <w:t xml:space="preserve"> de las </w:t>
      </w:r>
      <w:r w:rsidR="00450E98" w:rsidRPr="001B6743">
        <w:rPr>
          <w:rFonts w:ascii="Arial" w:hAnsi="Arial" w:cs="Arial"/>
          <w:sz w:val="18"/>
          <w:szCs w:val="18"/>
        </w:rPr>
        <w:t xml:space="preserve">entidades extranjeras </w:t>
      </w:r>
      <w:r w:rsidR="001A7FDD">
        <w:rPr>
          <w:rFonts w:ascii="Arial" w:hAnsi="Arial" w:cs="Arial"/>
          <w:sz w:val="18"/>
          <w:szCs w:val="18"/>
        </w:rPr>
        <w:t xml:space="preserve">se debe utilizar la calificación internacional efectuada por una </w:t>
      </w:r>
      <w:r w:rsidR="00740529">
        <w:rPr>
          <w:rFonts w:ascii="Arial" w:hAnsi="Arial" w:cs="Arial"/>
          <w:sz w:val="18"/>
          <w:szCs w:val="18"/>
        </w:rPr>
        <w:t xml:space="preserve">sociedad </w:t>
      </w:r>
      <w:r w:rsidR="001A7FDD">
        <w:rPr>
          <w:rFonts w:ascii="Arial" w:hAnsi="Arial" w:cs="Arial"/>
          <w:sz w:val="18"/>
          <w:szCs w:val="18"/>
        </w:rPr>
        <w:t>calificadora de riesgos internacionalmente reconocida</w:t>
      </w:r>
      <w:r w:rsidR="005C5718">
        <w:rPr>
          <w:rFonts w:ascii="Arial" w:hAnsi="Arial" w:cs="Arial"/>
          <w:sz w:val="18"/>
          <w:szCs w:val="18"/>
        </w:rPr>
        <w:t>, incluidas a</w:t>
      </w:r>
      <w:r w:rsidR="001A7FDD">
        <w:rPr>
          <w:rFonts w:ascii="Arial" w:hAnsi="Arial" w:cs="Arial"/>
          <w:sz w:val="18"/>
          <w:szCs w:val="18"/>
        </w:rPr>
        <w:t xml:space="preserve">quellas entidades que estén </w:t>
      </w:r>
      <w:r w:rsidR="00450E98" w:rsidRPr="001B6743">
        <w:rPr>
          <w:rFonts w:ascii="Arial" w:hAnsi="Arial" w:cs="Arial"/>
          <w:sz w:val="18"/>
          <w:szCs w:val="18"/>
        </w:rPr>
        <w:t>inscritas en el Registro Nacional de Valores y Emisores (RNVE) cuyos valores se negocien en el mercado nacional</w:t>
      </w:r>
      <w:r w:rsidR="001A7FDD">
        <w:rPr>
          <w:rFonts w:ascii="Arial" w:hAnsi="Arial" w:cs="Arial"/>
          <w:sz w:val="18"/>
          <w:szCs w:val="18"/>
        </w:rPr>
        <w:t>.</w:t>
      </w:r>
    </w:p>
    <w:p w14:paraId="22783E02" w14:textId="77777777" w:rsidR="004101A5" w:rsidRDefault="004101A5" w:rsidP="00011189">
      <w:pPr>
        <w:jc w:val="both"/>
        <w:rPr>
          <w:rFonts w:ascii="Arial" w:hAnsi="Arial" w:cs="Arial"/>
          <w:sz w:val="18"/>
          <w:szCs w:val="18"/>
        </w:rPr>
      </w:pPr>
    </w:p>
    <w:p w14:paraId="79EF9928" w14:textId="77777777" w:rsidR="0012160B" w:rsidRDefault="0012160B" w:rsidP="00011189">
      <w:pPr>
        <w:jc w:val="both"/>
        <w:rPr>
          <w:rFonts w:ascii="Arial" w:hAnsi="Arial" w:cs="Arial"/>
          <w:sz w:val="18"/>
          <w:szCs w:val="18"/>
        </w:rPr>
      </w:pPr>
      <w:r>
        <w:rPr>
          <w:rFonts w:ascii="Arial" w:hAnsi="Arial" w:cs="Arial"/>
          <w:sz w:val="18"/>
          <w:szCs w:val="18"/>
        </w:rPr>
        <w:t xml:space="preserve">En </w:t>
      </w:r>
      <w:r w:rsidR="00865C80">
        <w:rPr>
          <w:rFonts w:ascii="Arial" w:hAnsi="Arial" w:cs="Arial"/>
          <w:sz w:val="18"/>
          <w:szCs w:val="18"/>
        </w:rPr>
        <w:t xml:space="preserve">el caso </w:t>
      </w:r>
      <w:r>
        <w:rPr>
          <w:rFonts w:ascii="Arial" w:hAnsi="Arial" w:cs="Arial"/>
          <w:sz w:val="18"/>
          <w:szCs w:val="18"/>
        </w:rPr>
        <w:t>e</w:t>
      </w:r>
      <w:r w:rsidR="00865C80">
        <w:rPr>
          <w:rFonts w:ascii="Arial" w:hAnsi="Arial" w:cs="Arial"/>
          <w:sz w:val="18"/>
          <w:szCs w:val="18"/>
        </w:rPr>
        <w:t>n</w:t>
      </w:r>
      <w:r>
        <w:rPr>
          <w:rFonts w:ascii="Arial" w:hAnsi="Arial" w:cs="Arial"/>
          <w:sz w:val="18"/>
          <w:szCs w:val="18"/>
        </w:rPr>
        <w:t xml:space="preserve"> que no exista una calificación de riesgo específica de </w:t>
      </w:r>
      <w:r w:rsidRPr="001B6743">
        <w:rPr>
          <w:rFonts w:ascii="Arial" w:hAnsi="Arial" w:cs="Arial"/>
          <w:sz w:val="18"/>
          <w:szCs w:val="18"/>
        </w:rPr>
        <w:t>los activos, exposiciones y contingencias</w:t>
      </w:r>
      <w:r w:rsidR="007B322A">
        <w:rPr>
          <w:rFonts w:ascii="Arial" w:hAnsi="Arial" w:cs="Arial"/>
          <w:sz w:val="18"/>
          <w:szCs w:val="18"/>
        </w:rPr>
        <w:t>, la entidad</w:t>
      </w:r>
      <w:r>
        <w:rPr>
          <w:rFonts w:ascii="Arial" w:hAnsi="Arial" w:cs="Arial"/>
          <w:sz w:val="18"/>
          <w:szCs w:val="18"/>
        </w:rPr>
        <w:t xml:space="preserve"> podrá utilizar el porcentaje de ponderación correspondiente a otro activo, exposición o contingencia del mismo emisor o contraparte o la calificación del emisor o contraparte, siempre que cumpla las siguientes condiciones:</w:t>
      </w:r>
    </w:p>
    <w:p w14:paraId="77D389D7" w14:textId="77777777" w:rsidR="007B322A" w:rsidRDefault="007B322A" w:rsidP="00011189">
      <w:pPr>
        <w:jc w:val="both"/>
        <w:rPr>
          <w:rFonts w:ascii="Arial" w:hAnsi="Arial" w:cs="Arial"/>
          <w:sz w:val="18"/>
          <w:szCs w:val="18"/>
        </w:rPr>
      </w:pPr>
    </w:p>
    <w:p w14:paraId="095BF61E" w14:textId="77777777" w:rsidR="0012160B" w:rsidRDefault="0012160B" w:rsidP="002A1090">
      <w:pPr>
        <w:pStyle w:val="Prrafodelista"/>
        <w:numPr>
          <w:ilvl w:val="0"/>
          <w:numId w:val="36"/>
        </w:numPr>
        <w:jc w:val="both"/>
        <w:rPr>
          <w:rFonts w:ascii="Arial" w:hAnsi="Arial" w:cs="Arial"/>
          <w:sz w:val="18"/>
          <w:szCs w:val="18"/>
        </w:rPr>
      </w:pPr>
      <w:r>
        <w:rPr>
          <w:rFonts w:ascii="Arial" w:hAnsi="Arial" w:cs="Arial"/>
          <w:sz w:val="18"/>
          <w:szCs w:val="18"/>
        </w:rPr>
        <w:t xml:space="preserve">Que </w:t>
      </w:r>
      <w:r w:rsidR="007B322A">
        <w:rPr>
          <w:rFonts w:ascii="Arial" w:hAnsi="Arial" w:cs="Arial"/>
          <w:sz w:val="18"/>
          <w:szCs w:val="18"/>
        </w:rPr>
        <w:t>el activo, exposici</w:t>
      </w:r>
      <w:r w:rsidR="00A03405">
        <w:rPr>
          <w:rFonts w:ascii="Arial" w:hAnsi="Arial" w:cs="Arial"/>
          <w:sz w:val="18"/>
          <w:szCs w:val="18"/>
        </w:rPr>
        <w:t>ó</w:t>
      </w:r>
      <w:r w:rsidR="007B322A">
        <w:rPr>
          <w:rFonts w:ascii="Arial" w:hAnsi="Arial" w:cs="Arial"/>
          <w:sz w:val="18"/>
          <w:szCs w:val="18"/>
        </w:rPr>
        <w:t xml:space="preserve">n </w:t>
      </w:r>
      <w:r w:rsidR="00A03405">
        <w:rPr>
          <w:rFonts w:ascii="Arial" w:hAnsi="Arial" w:cs="Arial"/>
          <w:sz w:val="18"/>
          <w:szCs w:val="18"/>
        </w:rPr>
        <w:t>y</w:t>
      </w:r>
      <w:r w:rsidR="007B322A">
        <w:rPr>
          <w:rFonts w:ascii="Arial" w:hAnsi="Arial" w:cs="Arial"/>
          <w:sz w:val="18"/>
          <w:szCs w:val="18"/>
        </w:rPr>
        <w:t xml:space="preserve"> contingencia</w:t>
      </w:r>
      <w:r>
        <w:rPr>
          <w:rFonts w:ascii="Arial" w:hAnsi="Arial" w:cs="Arial"/>
          <w:sz w:val="18"/>
          <w:szCs w:val="18"/>
        </w:rPr>
        <w:t xml:space="preserve"> no calificado no sea subordinado y esté denominado en la moneda legal en curso del domicilio del emisor. </w:t>
      </w:r>
    </w:p>
    <w:p w14:paraId="27FD9DDD" w14:textId="77777777" w:rsidR="0012160B" w:rsidRPr="002A1090" w:rsidRDefault="0012160B" w:rsidP="002A1090">
      <w:pPr>
        <w:pStyle w:val="Prrafodelista"/>
        <w:numPr>
          <w:ilvl w:val="0"/>
          <w:numId w:val="36"/>
        </w:numPr>
        <w:jc w:val="both"/>
        <w:rPr>
          <w:rFonts w:ascii="Arial" w:hAnsi="Arial" w:cs="Arial"/>
          <w:sz w:val="18"/>
          <w:szCs w:val="18"/>
        </w:rPr>
      </w:pPr>
      <w:r>
        <w:rPr>
          <w:rFonts w:ascii="Arial" w:hAnsi="Arial" w:cs="Arial"/>
          <w:sz w:val="18"/>
          <w:szCs w:val="18"/>
        </w:rPr>
        <w:t xml:space="preserve">Que la calificación de riesgo específica no corresponda a un activo o contingencia de corto plazo. </w:t>
      </w:r>
    </w:p>
    <w:p w14:paraId="479DED45" w14:textId="77777777" w:rsidR="0059221D" w:rsidRDefault="0059221D" w:rsidP="00450E98">
      <w:pPr>
        <w:jc w:val="both"/>
        <w:rPr>
          <w:rFonts w:ascii="Arial" w:hAnsi="Arial" w:cs="Arial"/>
          <w:sz w:val="18"/>
          <w:szCs w:val="18"/>
        </w:rPr>
      </w:pPr>
    </w:p>
    <w:p w14:paraId="10A43C92" w14:textId="77777777" w:rsidR="00D92D87" w:rsidRDefault="00D92D87" w:rsidP="002A1090">
      <w:pPr>
        <w:jc w:val="both"/>
        <w:outlineLvl w:val="2"/>
        <w:rPr>
          <w:rFonts w:ascii="Arial" w:hAnsi="Arial" w:cs="Arial"/>
          <w:sz w:val="18"/>
          <w:szCs w:val="18"/>
        </w:rPr>
      </w:pPr>
      <w:r>
        <w:rPr>
          <w:rFonts w:ascii="Arial" w:hAnsi="Arial" w:cs="Arial"/>
          <w:sz w:val="18"/>
          <w:szCs w:val="18"/>
        </w:rPr>
        <w:t>En el ca</w:t>
      </w:r>
      <w:r w:rsidR="003A48EE">
        <w:rPr>
          <w:rFonts w:ascii="Arial" w:hAnsi="Arial" w:cs="Arial"/>
          <w:sz w:val="18"/>
          <w:szCs w:val="18"/>
        </w:rPr>
        <w:t>so en que no se cumpla con</w:t>
      </w:r>
      <w:r>
        <w:rPr>
          <w:rFonts w:ascii="Arial" w:hAnsi="Arial" w:cs="Arial"/>
          <w:sz w:val="18"/>
          <w:szCs w:val="18"/>
        </w:rPr>
        <w:t xml:space="preserve"> </w:t>
      </w:r>
      <w:r w:rsidR="007B322A">
        <w:rPr>
          <w:rFonts w:ascii="Arial" w:hAnsi="Arial" w:cs="Arial"/>
          <w:sz w:val="18"/>
          <w:szCs w:val="18"/>
        </w:rPr>
        <w:t>los dos requisitos antes</w:t>
      </w:r>
      <w:r>
        <w:rPr>
          <w:rFonts w:ascii="Arial" w:hAnsi="Arial" w:cs="Arial"/>
          <w:sz w:val="18"/>
          <w:szCs w:val="18"/>
        </w:rPr>
        <w:t xml:space="preserve"> señalados</w:t>
      </w:r>
      <w:r w:rsidR="007B322A">
        <w:rPr>
          <w:rFonts w:ascii="Arial" w:hAnsi="Arial" w:cs="Arial"/>
          <w:sz w:val="18"/>
          <w:szCs w:val="18"/>
        </w:rPr>
        <w:t>, las entidades</w:t>
      </w:r>
      <w:r>
        <w:rPr>
          <w:rFonts w:ascii="Arial" w:hAnsi="Arial" w:cs="Arial"/>
          <w:sz w:val="18"/>
          <w:szCs w:val="18"/>
        </w:rPr>
        <w:t xml:space="preserve"> deben utilizar los porcentajes de ponderación sin calificación a que haya lugar</w:t>
      </w:r>
      <w:r w:rsidR="00740529">
        <w:rPr>
          <w:rFonts w:ascii="Arial" w:hAnsi="Arial" w:cs="Arial"/>
          <w:sz w:val="18"/>
          <w:szCs w:val="18"/>
        </w:rPr>
        <w:t xml:space="preserve">, conforme a lo establecido en </w:t>
      </w:r>
      <w:r w:rsidR="007B322A">
        <w:rPr>
          <w:rFonts w:ascii="Arial" w:hAnsi="Arial" w:cs="Arial"/>
          <w:sz w:val="18"/>
          <w:szCs w:val="18"/>
        </w:rPr>
        <w:t>el artículo 2.1.1</w:t>
      </w:r>
      <w:r w:rsidR="00865C80">
        <w:rPr>
          <w:rFonts w:ascii="Arial" w:hAnsi="Arial" w:cs="Arial"/>
          <w:sz w:val="18"/>
          <w:szCs w:val="18"/>
        </w:rPr>
        <w:t>.</w:t>
      </w:r>
      <w:r w:rsidR="007B322A">
        <w:rPr>
          <w:rFonts w:ascii="Arial" w:hAnsi="Arial" w:cs="Arial"/>
          <w:sz w:val="18"/>
          <w:szCs w:val="18"/>
        </w:rPr>
        <w:t>3.2. del D</w:t>
      </w:r>
      <w:r>
        <w:rPr>
          <w:rFonts w:ascii="Arial" w:hAnsi="Arial" w:cs="Arial"/>
          <w:sz w:val="18"/>
          <w:szCs w:val="18"/>
        </w:rPr>
        <w:t xml:space="preserve">ecreto 2555 de 2010. </w:t>
      </w:r>
    </w:p>
    <w:p w14:paraId="07B471FA" w14:textId="77777777" w:rsidR="00D92D87" w:rsidRPr="002A1090" w:rsidRDefault="00D92D87" w:rsidP="002A1090">
      <w:pPr>
        <w:jc w:val="both"/>
        <w:outlineLvl w:val="2"/>
        <w:rPr>
          <w:rFonts w:ascii="Arial" w:hAnsi="Arial" w:cs="Arial"/>
          <w:sz w:val="18"/>
          <w:szCs w:val="18"/>
        </w:rPr>
      </w:pPr>
    </w:p>
    <w:p w14:paraId="30853B7E" w14:textId="77777777" w:rsidR="004D729D" w:rsidRPr="00E343EE" w:rsidRDefault="004D729D" w:rsidP="00E343EE">
      <w:pPr>
        <w:pStyle w:val="Prrafodelista"/>
        <w:numPr>
          <w:ilvl w:val="3"/>
          <w:numId w:val="38"/>
        </w:numPr>
        <w:jc w:val="both"/>
        <w:outlineLvl w:val="2"/>
        <w:rPr>
          <w:rFonts w:ascii="Arial" w:hAnsi="Arial" w:cs="Arial"/>
          <w:sz w:val="18"/>
          <w:szCs w:val="18"/>
        </w:rPr>
      </w:pPr>
      <w:r w:rsidRPr="00E343EE">
        <w:rPr>
          <w:rFonts w:ascii="Arial" w:hAnsi="Arial" w:cs="Arial"/>
          <w:sz w:val="18"/>
          <w:szCs w:val="18"/>
        </w:rPr>
        <w:t xml:space="preserve">Calificación de </w:t>
      </w:r>
      <w:r w:rsidR="00994EFF" w:rsidRPr="00E343EE">
        <w:rPr>
          <w:rFonts w:ascii="Arial" w:hAnsi="Arial" w:cs="Arial"/>
          <w:sz w:val="18"/>
          <w:szCs w:val="18"/>
        </w:rPr>
        <w:t xml:space="preserve">los activos, exposiciones y contingencias </w:t>
      </w:r>
      <w:r w:rsidR="001A7FDD" w:rsidRPr="00E343EE">
        <w:rPr>
          <w:rFonts w:ascii="Arial" w:hAnsi="Arial" w:cs="Arial"/>
          <w:sz w:val="18"/>
          <w:szCs w:val="18"/>
        </w:rPr>
        <w:t xml:space="preserve">de las subordinadas en </w:t>
      </w:r>
      <w:r w:rsidRPr="00E343EE">
        <w:rPr>
          <w:rFonts w:ascii="Arial" w:hAnsi="Arial" w:cs="Arial"/>
          <w:sz w:val="18"/>
          <w:szCs w:val="18"/>
        </w:rPr>
        <w:t>el exterior</w:t>
      </w:r>
    </w:p>
    <w:p w14:paraId="0248290B" w14:textId="77777777" w:rsidR="004D729D" w:rsidRDefault="004D729D" w:rsidP="004D729D">
      <w:pPr>
        <w:jc w:val="both"/>
        <w:rPr>
          <w:rFonts w:ascii="Arial" w:hAnsi="Arial" w:cs="Arial"/>
          <w:sz w:val="18"/>
          <w:szCs w:val="18"/>
        </w:rPr>
      </w:pPr>
    </w:p>
    <w:p w14:paraId="255B3D6D" w14:textId="77777777" w:rsidR="009E37AA" w:rsidRDefault="004D729D" w:rsidP="004D729D">
      <w:pPr>
        <w:jc w:val="both"/>
        <w:rPr>
          <w:rFonts w:ascii="Arial" w:hAnsi="Arial" w:cs="Arial"/>
          <w:sz w:val="18"/>
          <w:szCs w:val="18"/>
        </w:rPr>
      </w:pPr>
      <w:r>
        <w:rPr>
          <w:rFonts w:ascii="Arial" w:hAnsi="Arial" w:cs="Arial"/>
          <w:sz w:val="18"/>
          <w:szCs w:val="18"/>
        </w:rPr>
        <w:t xml:space="preserve">Cuando se trate de </w:t>
      </w:r>
      <w:r w:rsidR="009E37AA">
        <w:rPr>
          <w:rFonts w:ascii="Arial" w:hAnsi="Arial" w:cs="Arial"/>
          <w:sz w:val="18"/>
          <w:szCs w:val="18"/>
        </w:rPr>
        <w:t xml:space="preserve">activos, exposiciones o contingencias de las subordinadas </w:t>
      </w:r>
      <w:r>
        <w:rPr>
          <w:rFonts w:ascii="Arial" w:hAnsi="Arial" w:cs="Arial"/>
          <w:sz w:val="18"/>
          <w:szCs w:val="18"/>
        </w:rPr>
        <w:t xml:space="preserve">en el exterior </w:t>
      </w:r>
      <w:r w:rsidR="00740529">
        <w:rPr>
          <w:rFonts w:ascii="Arial" w:hAnsi="Arial" w:cs="Arial"/>
          <w:sz w:val="18"/>
          <w:szCs w:val="18"/>
        </w:rPr>
        <w:t xml:space="preserve">se </w:t>
      </w:r>
      <w:r w:rsidR="009E37AA">
        <w:rPr>
          <w:rFonts w:ascii="Arial" w:hAnsi="Arial" w:cs="Arial"/>
          <w:sz w:val="18"/>
          <w:szCs w:val="18"/>
        </w:rPr>
        <w:t xml:space="preserve">deben </w:t>
      </w:r>
      <w:r w:rsidR="00740529">
        <w:rPr>
          <w:rFonts w:ascii="Arial" w:hAnsi="Arial" w:cs="Arial"/>
          <w:sz w:val="18"/>
          <w:szCs w:val="18"/>
        </w:rPr>
        <w:t>aplicar</w:t>
      </w:r>
      <w:r w:rsidR="009E37AA">
        <w:rPr>
          <w:rFonts w:ascii="Arial" w:hAnsi="Arial" w:cs="Arial"/>
          <w:sz w:val="18"/>
          <w:szCs w:val="18"/>
        </w:rPr>
        <w:t xml:space="preserve"> las siguientes instrucciones:</w:t>
      </w:r>
    </w:p>
    <w:p w14:paraId="38503B71" w14:textId="77777777" w:rsidR="009E37AA" w:rsidRDefault="009E37AA" w:rsidP="004D729D">
      <w:pPr>
        <w:jc w:val="both"/>
        <w:rPr>
          <w:rFonts w:ascii="Arial" w:hAnsi="Arial" w:cs="Arial"/>
          <w:sz w:val="18"/>
          <w:szCs w:val="18"/>
        </w:rPr>
      </w:pPr>
    </w:p>
    <w:p w14:paraId="79053B69" w14:textId="77777777" w:rsidR="00994EFF" w:rsidRPr="00C54243" w:rsidRDefault="00994EFF" w:rsidP="00994EFF">
      <w:pPr>
        <w:pStyle w:val="Prrafodelista"/>
        <w:numPr>
          <w:ilvl w:val="0"/>
          <w:numId w:val="18"/>
        </w:numPr>
        <w:jc w:val="both"/>
        <w:rPr>
          <w:rFonts w:ascii="Arial" w:hAnsi="Arial" w:cs="Arial"/>
          <w:sz w:val="18"/>
          <w:szCs w:val="18"/>
        </w:rPr>
      </w:pPr>
      <w:r>
        <w:rPr>
          <w:rFonts w:ascii="Arial" w:hAnsi="Arial" w:cs="Arial"/>
          <w:color w:val="000000" w:themeColor="text1"/>
          <w:sz w:val="18"/>
          <w:szCs w:val="18"/>
        </w:rPr>
        <w:t xml:space="preserve">Se deben utilizar </w:t>
      </w:r>
      <w:r w:rsidRPr="00EF0B24">
        <w:rPr>
          <w:rFonts w:ascii="Arial" w:hAnsi="Arial" w:cs="Arial"/>
          <w:color w:val="000000" w:themeColor="text1"/>
          <w:sz w:val="18"/>
          <w:szCs w:val="18"/>
        </w:rPr>
        <w:t xml:space="preserve">las calificadoras internacionalmente reconocidas. </w:t>
      </w:r>
    </w:p>
    <w:p w14:paraId="02F6CA73" w14:textId="43BE7CB7" w:rsidR="00EA7834" w:rsidRPr="00EA7834" w:rsidRDefault="00994EFF" w:rsidP="007E2619">
      <w:pPr>
        <w:pStyle w:val="Prrafodelista"/>
        <w:numPr>
          <w:ilvl w:val="0"/>
          <w:numId w:val="18"/>
        </w:numPr>
        <w:pBdr>
          <w:left w:val="single" w:sz="4" w:space="4" w:color="auto"/>
        </w:pBdr>
        <w:jc w:val="both"/>
        <w:rPr>
          <w:rFonts w:ascii="Arial" w:hAnsi="Arial" w:cs="Arial"/>
          <w:sz w:val="18"/>
          <w:szCs w:val="18"/>
        </w:rPr>
      </w:pPr>
      <w:r w:rsidRPr="00EA7834">
        <w:rPr>
          <w:rFonts w:ascii="Arial" w:hAnsi="Arial" w:cs="Arial"/>
          <w:color w:val="000000" w:themeColor="text1"/>
          <w:sz w:val="18"/>
          <w:szCs w:val="18"/>
        </w:rPr>
        <w:t xml:space="preserve">Se deben homologar las referencias a: Nación, SFC, Banco de la República, </w:t>
      </w:r>
      <w:r w:rsidR="00B73499" w:rsidRPr="00EA7834">
        <w:rPr>
          <w:rFonts w:ascii="Arial" w:hAnsi="Arial" w:cs="Arial"/>
          <w:color w:val="000000" w:themeColor="text1"/>
          <w:sz w:val="18"/>
          <w:szCs w:val="18"/>
        </w:rPr>
        <w:t>Fondo de Garantías de Instituciones Financieras (</w:t>
      </w:r>
      <w:proofErr w:type="spellStart"/>
      <w:r w:rsidR="00DF4CC3" w:rsidRPr="00EA7834">
        <w:rPr>
          <w:rFonts w:ascii="Arial" w:hAnsi="Arial" w:cs="Arial"/>
          <w:color w:val="000000" w:themeColor="text1"/>
          <w:sz w:val="18"/>
          <w:szCs w:val="18"/>
        </w:rPr>
        <w:t>Fogafin</w:t>
      </w:r>
      <w:proofErr w:type="spellEnd"/>
      <w:r w:rsidR="00B73499" w:rsidRPr="00EA7834">
        <w:rPr>
          <w:rFonts w:ascii="Arial" w:hAnsi="Arial" w:cs="Arial"/>
          <w:color w:val="000000" w:themeColor="text1"/>
          <w:sz w:val="18"/>
          <w:szCs w:val="18"/>
        </w:rPr>
        <w:t>)</w:t>
      </w:r>
      <w:r w:rsidRPr="00EA7834">
        <w:rPr>
          <w:rFonts w:ascii="Arial" w:hAnsi="Arial" w:cs="Arial"/>
          <w:color w:val="000000" w:themeColor="text1"/>
          <w:sz w:val="18"/>
          <w:szCs w:val="18"/>
        </w:rPr>
        <w:t xml:space="preserve">, </w:t>
      </w:r>
      <w:r w:rsidR="00B73499" w:rsidRPr="00EA7834">
        <w:rPr>
          <w:rFonts w:ascii="Arial" w:hAnsi="Arial" w:cs="Arial"/>
          <w:color w:val="000000" w:themeColor="text1"/>
          <w:sz w:val="18"/>
          <w:szCs w:val="18"/>
        </w:rPr>
        <w:t>Fondo de Garantías de Entidades Cooperativas (</w:t>
      </w:r>
      <w:proofErr w:type="spellStart"/>
      <w:r w:rsidRPr="00EA7834">
        <w:rPr>
          <w:rFonts w:ascii="Arial" w:hAnsi="Arial" w:cs="Arial"/>
          <w:color w:val="000000" w:themeColor="text1"/>
          <w:sz w:val="18"/>
          <w:szCs w:val="18"/>
        </w:rPr>
        <w:t>Fogacoop</w:t>
      </w:r>
      <w:proofErr w:type="spellEnd"/>
      <w:r w:rsidR="00B73499" w:rsidRPr="00EA7834">
        <w:rPr>
          <w:rFonts w:ascii="Arial" w:hAnsi="Arial" w:cs="Arial"/>
          <w:color w:val="000000" w:themeColor="text1"/>
          <w:sz w:val="18"/>
          <w:szCs w:val="18"/>
        </w:rPr>
        <w:t>)</w:t>
      </w:r>
      <w:r w:rsidRPr="00EA7834">
        <w:rPr>
          <w:rFonts w:ascii="Arial" w:hAnsi="Arial" w:cs="Arial"/>
          <w:color w:val="000000" w:themeColor="text1"/>
          <w:sz w:val="18"/>
          <w:szCs w:val="18"/>
        </w:rPr>
        <w:t xml:space="preserve"> y Cámara de Riesgo Central de Contraparte (CRCC)</w:t>
      </w:r>
      <w:r w:rsidRPr="00A165B2">
        <w:rPr>
          <w:rFonts w:ascii="Arial" w:hAnsi="Arial" w:cs="Arial"/>
          <w:b/>
          <w:bCs/>
          <w:color w:val="000000" w:themeColor="text1"/>
          <w:sz w:val="18"/>
          <w:szCs w:val="18"/>
        </w:rPr>
        <w:t xml:space="preserve">, </w:t>
      </w:r>
      <w:r w:rsidRPr="00EA7834">
        <w:rPr>
          <w:rFonts w:ascii="Arial" w:hAnsi="Arial" w:cs="Arial"/>
          <w:color w:val="000000" w:themeColor="text1"/>
          <w:sz w:val="18"/>
          <w:szCs w:val="18"/>
        </w:rPr>
        <w:t>por su equivalente en el país correspondiente</w:t>
      </w:r>
      <w:r w:rsidR="00B73499" w:rsidRPr="00EA7834">
        <w:rPr>
          <w:rFonts w:ascii="Arial" w:hAnsi="Arial" w:cs="Arial"/>
          <w:color w:val="000000" w:themeColor="text1"/>
          <w:sz w:val="18"/>
          <w:szCs w:val="18"/>
        </w:rPr>
        <w:t>.</w:t>
      </w:r>
      <w:r w:rsidR="007602CA">
        <w:rPr>
          <w:rFonts w:ascii="Arial" w:hAnsi="Arial" w:cs="Arial"/>
          <w:color w:val="000000" w:themeColor="text1"/>
          <w:sz w:val="18"/>
          <w:szCs w:val="18"/>
        </w:rPr>
        <w:t xml:space="preserve"> </w:t>
      </w:r>
      <w:r w:rsidR="007602CA" w:rsidRPr="007E2619">
        <w:rPr>
          <w:rFonts w:ascii="Arial" w:hAnsi="Arial" w:cs="Arial"/>
          <w:b/>
          <w:bCs/>
          <w:color w:val="000000" w:themeColor="text1"/>
          <w:sz w:val="18"/>
          <w:szCs w:val="18"/>
        </w:rPr>
        <w:t xml:space="preserve">Las referencias </w:t>
      </w:r>
      <w:r w:rsidR="00532C2C" w:rsidRPr="007E2619">
        <w:rPr>
          <w:rFonts w:ascii="Arial" w:hAnsi="Arial" w:cs="Arial"/>
          <w:b/>
          <w:bCs/>
          <w:color w:val="000000" w:themeColor="text1"/>
          <w:sz w:val="18"/>
          <w:szCs w:val="18"/>
        </w:rPr>
        <w:t xml:space="preserve">a CRCC se homologarán siempre que la SFC haya reconocido a la respectiva </w:t>
      </w:r>
      <w:r w:rsidR="002E63F4">
        <w:rPr>
          <w:rFonts w:ascii="Arial" w:hAnsi="Arial" w:cs="Arial"/>
          <w:b/>
          <w:bCs/>
          <w:color w:val="000000" w:themeColor="text1"/>
          <w:sz w:val="18"/>
          <w:szCs w:val="18"/>
        </w:rPr>
        <w:t>E</w:t>
      </w:r>
      <w:r w:rsidR="00604453">
        <w:rPr>
          <w:rFonts w:ascii="Arial" w:hAnsi="Arial" w:cs="Arial"/>
          <w:b/>
          <w:bCs/>
          <w:color w:val="000000" w:themeColor="text1"/>
          <w:sz w:val="18"/>
          <w:szCs w:val="18"/>
        </w:rPr>
        <w:t xml:space="preserve">ntidad de </w:t>
      </w:r>
      <w:r w:rsidR="002E63F4">
        <w:rPr>
          <w:rFonts w:ascii="Arial" w:hAnsi="Arial" w:cs="Arial"/>
          <w:b/>
          <w:bCs/>
          <w:color w:val="000000" w:themeColor="text1"/>
          <w:sz w:val="18"/>
          <w:szCs w:val="18"/>
        </w:rPr>
        <w:t>C</w:t>
      </w:r>
      <w:r w:rsidR="00604453">
        <w:rPr>
          <w:rFonts w:ascii="Arial" w:hAnsi="Arial" w:cs="Arial"/>
          <w:b/>
          <w:bCs/>
          <w:color w:val="000000" w:themeColor="text1"/>
          <w:sz w:val="18"/>
          <w:szCs w:val="18"/>
        </w:rPr>
        <w:t xml:space="preserve">ontrapartida </w:t>
      </w:r>
      <w:r w:rsidR="002E63F4">
        <w:rPr>
          <w:rFonts w:ascii="Arial" w:hAnsi="Arial" w:cs="Arial"/>
          <w:b/>
          <w:bCs/>
          <w:color w:val="000000" w:themeColor="text1"/>
          <w:sz w:val="18"/>
          <w:szCs w:val="18"/>
        </w:rPr>
        <w:t>C</w:t>
      </w:r>
      <w:r w:rsidR="00604453">
        <w:rPr>
          <w:rFonts w:ascii="Arial" w:hAnsi="Arial" w:cs="Arial"/>
          <w:b/>
          <w:bCs/>
          <w:color w:val="000000" w:themeColor="text1"/>
          <w:sz w:val="18"/>
          <w:szCs w:val="18"/>
        </w:rPr>
        <w:t>entral</w:t>
      </w:r>
      <w:r w:rsidR="00532C2C" w:rsidRPr="007E2619">
        <w:rPr>
          <w:rFonts w:ascii="Arial" w:hAnsi="Arial" w:cs="Arial"/>
          <w:b/>
          <w:bCs/>
          <w:color w:val="000000" w:themeColor="text1"/>
          <w:sz w:val="18"/>
          <w:szCs w:val="18"/>
        </w:rPr>
        <w:t xml:space="preserve"> extranjera como equivalente</w:t>
      </w:r>
      <w:r w:rsidR="002E63F4" w:rsidRPr="002E63F4">
        <w:rPr>
          <w:rFonts w:ascii="Arial" w:hAnsi="Arial" w:cs="Arial"/>
          <w:b/>
          <w:bCs/>
          <w:color w:val="000000" w:themeColor="text1"/>
          <w:sz w:val="18"/>
          <w:szCs w:val="18"/>
        </w:rPr>
        <w:t xml:space="preserve">, de conformidad con el listado publicado en la página web de la </w:t>
      </w:r>
      <w:r w:rsidR="00A165B2">
        <w:rPr>
          <w:rFonts w:ascii="Arial" w:hAnsi="Arial" w:cs="Arial"/>
          <w:b/>
          <w:bCs/>
          <w:color w:val="000000" w:themeColor="text1"/>
          <w:sz w:val="18"/>
          <w:szCs w:val="18"/>
        </w:rPr>
        <w:t>SFC</w:t>
      </w:r>
      <w:r w:rsidR="002E63F4" w:rsidRPr="002E63F4">
        <w:rPr>
          <w:rFonts w:ascii="Arial" w:hAnsi="Arial" w:cs="Arial"/>
          <w:b/>
          <w:bCs/>
          <w:color w:val="000000" w:themeColor="text1"/>
          <w:sz w:val="18"/>
          <w:szCs w:val="18"/>
        </w:rPr>
        <w:t>.</w:t>
      </w:r>
    </w:p>
    <w:p w14:paraId="1B3A33D4" w14:textId="77777777" w:rsidR="009E37AA" w:rsidRDefault="009E37AA" w:rsidP="00513595">
      <w:pPr>
        <w:pStyle w:val="Prrafodelista"/>
        <w:numPr>
          <w:ilvl w:val="0"/>
          <w:numId w:val="18"/>
        </w:numPr>
        <w:jc w:val="both"/>
        <w:rPr>
          <w:rFonts w:ascii="Arial" w:hAnsi="Arial" w:cs="Arial"/>
          <w:sz w:val="18"/>
          <w:szCs w:val="18"/>
        </w:rPr>
      </w:pPr>
      <w:r w:rsidRPr="00E90926">
        <w:rPr>
          <w:rFonts w:ascii="Arial" w:hAnsi="Arial" w:cs="Arial"/>
          <w:sz w:val="18"/>
          <w:szCs w:val="18"/>
        </w:rPr>
        <w:t xml:space="preserve">Tratándose de países con calificación soberana de largo plazo en la categoría </w:t>
      </w:r>
      <w:r>
        <w:rPr>
          <w:rFonts w:ascii="Arial" w:hAnsi="Arial" w:cs="Arial"/>
          <w:sz w:val="18"/>
          <w:szCs w:val="18"/>
        </w:rPr>
        <w:t>grado de inversión</w:t>
      </w:r>
      <w:r w:rsidR="00740529">
        <w:rPr>
          <w:rFonts w:ascii="Arial" w:hAnsi="Arial" w:cs="Arial"/>
          <w:sz w:val="18"/>
          <w:szCs w:val="18"/>
        </w:rPr>
        <w:t xml:space="preserve"> se</w:t>
      </w:r>
      <w:r w:rsidRPr="00E90926">
        <w:rPr>
          <w:rFonts w:ascii="Arial" w:hAnsi="Arial" w:cs="Arial"/>
          <w:sz w:val="18"/>
          <w:szCs w:val="18"/>
        </w:rPr>
        <w:t xml:space="preserve"> debe utilizar la escala de ponderación de riesgo asignada a la contraparte en </w:t>
      </w:r>
      <w:r w:rsidR="00994EFF">
        <w:rPr>
          <w:rFonts w:ascii="Arial" w:hAnsi="Arial" w:cs="Arial"/>
          <w:sz w:val="18"/>
          <w:szCs w:val="18"/>
        </w:rPr>
        <w:t xml:space="preserve">la escala </w:t>
      </w:r>
      <w:r w:rsidRPr="00E90926">
        <w:rPr>
          <w:rFonts w:ascii="Arial" w:hAnsi="Arial" w:cs="Arial"/>
          <w:sz w:val="18"/>
          <w:szCs w:val="18"/>
        </w:rPr>
        <w:t xml:space="preserve">de calificación establecida </w:t>
      </w:r>
      <w:r w:rsidR="00957753">
        <w:rPr>
          <w:rFonts w:ascii="Arial" w:hAnsi="Arial" w:cs="Arial"/>
          <w:sz w:val="18"/>
          <w:szCs w:val="18"/>
        </w:rPr>
        <w:t xml:space="preserve">en </w:t>
      </w:r>
      <w:r w:rsidR="00994EFF">
        <w:rPr>
          <w:rFonts w:ascii="Arial" w:hAnsi="Arial" w:cs="Arial"/>
          <w:sz w:val="18"/>
          <w:szCs w:val="18"/>
        </w:rPr>
        <w:t xml:space="preserve">el </w:t>
      </w:r>
      <w:r w:rsidR="00957753">
        <w:rPr>
          <w:rFonts w:ascii="Arial" w:hAnsi="Arial" w:cs="Arial"/>
          <w:sz w:val="18"/>
          <w:szCs w:val="18"/>
        </w:rPr>
        <w:t>artículo 2</w:t>
      </w:r>
      <w:r w:rsidR="00611938">
        <w:rPr>
          <w:rFonts w:ascii="Arial" w:hAnsi="Arial" w:cs="Arial"/>
          <w:sz w:val="18"/>
          <w:szCs w:val="18"/>
        </w:rPr>
        <w:t>.</w:t>
      </w:r>
      <w:r w:rsidR="00957753">
        <w:rPr>
          <w:rFonts w:ascii="Arial" w:hAnsi="Arial" w:cs="Arial"/>
          <w:sz w:val="18"/>
          <w:szCs w:val="18"/>
        </w:rPr>
        <w:t>1.1.3.2 del Decreto 2555 de 2010</w:t>
      </w:r>
      <w:r>
        <w:rPr>
          <w:rFonts w:ascii="Arial" w:hAnsi="Arial" w:cs="Arial"/>
          <w:sz w:val="18"/>
          <w:szCs w:val="18"/>
        </w:rPr>
        <w:t>.</w:t>
      </w:r>
    </w:p>
    <w:p w14:paraId="22E30C75" w14:textId="77777777" w:rsidR="00740529" w:rsidRDefault="00BF044E" w:rsidP="00513595">
      <w:pPr>
        <w:pStyle w:val="Prrafodelista"/>
        <w:numPr>
          <w:ilvl w:val="0"/>
          <w:numId w:val="18"/>
        </w:numPr>
        <w:jc w:val="both"/>
        <w:rPr>
          <w:rFonts w:ascii="Arial" w:hAnsi="Arial" w:cs="Arial"/>
          <w:sz w:val="18"/>
          <w:szCs w:val="18"/>
        </w:rPr>
      </w:pPr>
      <w:r w:rsidRPr="00E90926">
        <w:rPr>
          <w:rFonts w:ascii="Arial" w:hAnsi="Arial" w:cs="Arial"/>
          <w:sz w:val="18"/>
          <w:szCs w:val="18"/>
        </w:rPr>
        <w:t xml:space="preserve">Tratándose de países con calificación soberana de largo plazo </w:t>
      </w:r>
      <w:r w:rsidR="001A74C2">
        <w:rPr>
          <w:rFonts w:ascii="Arial" w:hAnsi="Arial" w:cs="Arial"/>
          <w:sz w:val="18"/>
          <w:szCs w:val="18"/>
        </w:rPr>
        <w:t xml:space="preserve">entre </w:t>
      </w:r>
      <w:r w:rsidRPr="00E90926">
        <w:rPr>
          <w:rFonts w:ascii="Arial" w:hAnsi="Arial" w:cs="Arial"/>
          <w:sz w:val="18"/>
          <w:szCs w:val="18"/>
        </w:rPr>
        <w:t xml:space="preserve">BB+ </w:t>
      </w:r>
      <w:r w:rsidR="001A74C2">
        <w:rPr>
          <w:rFonts w:ascii="Arial" w:hAnsi="Arial" w:cs="Arial"/>
          <w:sz w:val="18"/>
          <w:szCs w:val="18"/>
        </w:rPr>
        <w:t>y</w:t>
      </w:r>
      <w:r w:rsidRPr="00E90926">
        <w:rPr>
          <w:rFonts w:ascii="Arial" w:hAnsi="Arial" w:cs="Arial"/>
          <w:sz w:val="18"/>
          <w:szCs w:val="18"/>
        </w:rPr>
        <w:t xml:space="preserve"> B- </w:t>
      </w:r>
      <w:r w:rsidR="00740529">
        <w:rPr>
          <w:rFonts w:ascii="Arial" w:hAnsi="Arial" w:cs="Arial"/>
          <w:sz w:val="18"/>
          <w:szCs w:val="18"/>
        </w:rPr>
        <w:t xml:space="preserve">se </w:t>
      </w:r>
      <w:r w:rsidRPr="00E90926">
        <w:rPr>
          <w:rFonts w:ascii="Arial" w:hAnsi="Arial" w:cs="Arial"/>
          <w:sz w:val="18"/>
          <w:szCs w:val="18"/>
        </w:rPr>
        <w:t xml:space="preserve">debe </w:t>
      </w:r>
      <w:r w:rsidR="004D729D" w:rsidRPr="00E90926">
        <w:rPr>
          <w:rFonts w:ascii="Arial" w:hAnsi="Arial" w:cs="Arial"/>
          <w:sz w:val="18"/>
          <w:szCs w:val="18"/>
        </w:rPr>
        <w:t xml:space="preserve">utilizar </w:t>
      </w:r>
      <w:r w:rsidR="008250BC">
        <w:rPr>
          <w:rFonts w:ascii="Arial" w:hAnsi="Arial" w:cs="Arial"/>
          <w:sz w:val="18"/>
          <w:szCs w:val="18"/>
        </w:rPr>
        <w:t>l</w:t>
      </w:r>
      <w:r w:rsidR="001B6743">
        <w:rPr>
          <w:rFonts w:ascii="Arial" w:hAnsi="Arial" w:cs="Arial"/>
          <w:sz w:val="18"/>
          <w:szCs w:val="18"/>
        </w:rPr>
        <w:t>a</w:t>
      </w:r>
      <w:r w:rsidR="008250BC">
        <w:rPr>
          <w:rFonts w:ascii="Arial" w:hAnsi="Arial" w:cs="Arial"/>
          <w:sz w:val="18"/>
          <w:szCs w:val="18"/>
        </w:rPr>
        <w:t xml:space="preserve"> </w:t>
      </w:r>
      <w:r w:rsidR="004D729D" w:rsidRPr="00E90926">
        <w:rPr>
          <w:rFonts w:ascii="Arial" w:hAnsi="Arial" w:cs="Arial"/>
          <w:sz w:val="18"/>
          <w:szCs w:val="18"/>
        </w:rPr>
        <w:t xml:space="preserve">ponderación de </w:t>
      </w:r>
      <w:r w:rsidRPr="00E90926">
        <w:rPr>
          <w:rFonts w:ascii="Arial" w:hAnsi="Arial" w:cs="Arial"/>
          <w:sz w:val="18"/>
          <w:szCs w:val="18"/>
        </w:rPr>
        <w:t xml:space="preserve">riesgo </w:t>
      </w:r>
      <w:r w:rsidR="005C68E5">
        <w:rPr>
          <w:rFonts w:ascii="Arial" w:hAnsi="Arial" w:cs="Arial"/>
          <w:sz w:val="18"/>
          <w:szCs w:val="18"/>
        </w:rPr>
        <w:t>deteriorando</w:t>
      </w:r>
      <w:r w:rsidR="0016608E">
        <w:rPr>
          <w:rFonts w:ascii="Arial" w:hAnsi="Arial" w:cs="Arial"/>
          <w:sz w:val="18"/>
          <w:szCs w:val="18"/>
        </w:rPr>
        <w:t xml:space="preserve"> </w:t>
      </w:r>
      <w:r w:rsidR="00FC78EA">
        <w:rPr>
          <w:rFonts w:ascii="Arial" w:hAnsi="Arial" w:cs="Arial"/>
          <w:sz w:val="18"/>
          <w:szCs w:val="18"/>
        </w:rPr>
        <w:t xml:space="preserve">una </w:t>
      </w:r>
      <w:r w:rsidR="008250BC">
        <w:rPr>
          <w:rFonts w:ascii="Arial" w:hAnsi="Arial" w:cs="Arial"/>
          <w:sz w:val="18"/>
          <w:szCs w:val="18"/>
        </w:rPr>
        <w:t>escala de ponderación</w:t>
      </w:r>
      <w:r w:rsidR="0016608E">
        <w:rPr>
          <w:rFonts w:ascii="Arial" w:hAnsi="Arial" w:cs="Arial"/>
          <w:sz w:val="18"/>
          <w:szCs w:val="18"/>
        </w:rPr>
        <w:t xml:space="preserve"> </w:t>
      </w:r>
      <w:r w:rsidR="00FC78EA">
        <w:rPr>
          <w:rFonts w:ascii="Arial" w:hAnsi="Arial" w:cs="Arial"/>
          <w:sz w:val="18"/>
          <w:szCs w:val="18"/>
        </w:rPr>
        <w:t>a la que resulte aplicable</w:t>
      </w:r>
      <w:r w:rsidR="002A38EB">
        <w:rPr>
          <w:rFonts w:ascii="Arial" w:hAnsi="Arial" w:cs="Arial"/>
          <w:sz w:val="18"/>
          <w:szCs w:val="18"/>
        </w:rPr>
        <w:t xml:space="preserve"> a la contraparte</w:t>
      </w:r>
      <w:r w:rsidR="00740529">
        <w:rPr>
          <w:rFonts w:ascii="Arial" w:hAnsi="Arial" w:cs="Arial"/>
          <w:sz w:val="18"/>
          <w:szCs w:val="18"/>
        </w:rPr>
        <w:t>,</w:t>
      </w:r>
      <w:r w:rsidR="00FC78EA">
        <w:rPr>
          <w:rFonts w:ascii="Arial" w:hAnsi="Arial" w:cs="Arial"/>
          <w:sz w:val="18"/>
          <w:szCs w:val="18"/>
        </w:rPr>
        <w:t xml:space="preserve"> </w:t>
      </w:r>
      <w:r w:rsidR="00F46398">
        <w:rPr>
          <w:rFonts w:ascii="Arial" w:hAnsi="Arial" w:cs="Arial"/>
          <w:sz w:val="18"/>
          <w:szCs w:val="18"/>
        </w:rPr>
        <w:t xml:space="preserve">de </w:t>
      </w:r>
      <w:r w:rsidR="002A38EB">
        <w:rPr>
          <w:rFonts w:ascii="Arial" w:hAnsi="Arial" w:cs="Arial"/>
          <w:sz w:val="18"/>
          <w:szCs w:val="18"/>
        </w:rPr>
        <w:t>conformidad</w:t>
      </w:r>
      <w:r w:rsidR="00F46398">
        <w:rPr>
          <w:rFonts w:ascii="Arial" w:hAnsi="Arial" w:cs="Arial"/>
          <w:sz w:val="18"/>
          <w:szCs w:val="18"/>
        </w:rPr>
        <w:t xml:space="preserve"> con el artículo 2</w:t>
      </w:r>
      <w:r w:rsidR="00611938">
        <w:rPr>
          <w:rFonts w:ascii="Arial" w:hAnsi="Arial" w:cs="Arial"/>
          <w:sz w:val="18"/>
          <w:szCs w:val="18"/>
        </w:rPr>
        <w:t>.</w:t>
      </w:r>
      <w:r w:rsidR="00F46398">
        <w:rPr>
          <w:rFonts w:ascii="Arial" w:hAnsi="Arial" w:cs="Arial"/>
          <w:sz w:val="18"/>
          <w:szCs w:val="18"/>
        </w:rPr>
        <w:t>1.</w:t>
      </w:r>
      <w:r w:rsidR="006361C8">
        <w:rPr>
          <w:rFonts w:ascii="Arial" w:hAnsi="Arial" w:cs="Arial"/>
          <w:sz w:val="18"/>
          <w:szCs w:val="18"/>
        </w:rPr>
        <w:t>1.3.2 del Decreto 2555 de 2010</w:t>
      </w:r>
      <w:r w:rsidR="004D729D" w:rsidRPr="00E90926">
        <w:rPr>
          <w:rFonts w:ascii="Arial" w:hAnsi="Arial" w:cs="Arial"/>
          <w:sz w:val="18"/>
          <w:szCs w:val="18"/>
        </w:rPr>
        <w:t>.</w:t>
      </w:r>
      <w:r w:rsidR="00C5387E">
        <w:rPr>
          <w:rFonts w:ascii="Arial" w:hAnsi="Arial" w:cs="Arial"/>
          <w:sz w:val="18"/>
          <w:szCs w:val="18"/>
        </w:rPr>
        <w:t xml:space="preserve"> </w:t>
      </w:r>
    </w:p>
    <w:p w14:paraId="7B61A012" w14:textId="77777777" w:rsidR="00740529" w:rsidRDefault="00740529" w:rsidP="00740529">
      <w:pPr>
        <w:pStyle w:val="Prrafodelista"/>
        <w:ind w:left="360"/>
        <w:jc w:val="both"/>
        <w:rPr>
          <w:rFonts w:ascii="Arial" w:hAnsi="Arial" w:cs="Arial"/>
          <w:sz w:val="18"/>
          <w:szCs w:val="18"/>
        </w:rPr>
      </w:pPr>
    </w:p>
    <w:p w14:paraId="6B46BBE3" w14:textId="77777777" w:rsidR="004D729D" w:rsidRDefault="00740529" w:rsidP="00740529">
      <w:pPr>
        <w:pStyle w:val="Prrafodelista"/>
        <w:ind w:left="360"/>
        <w:jc w:val="both"/>
        <w:rPr>
          <w:rFonts w:ascii="Arial" w:hAnsi="Arial" w:cs="Arial"/>
          <w:sz w:val="18"/>
          <w:szCs w:val="18"/>
        </w:rPr>
      </w:pPr>
      <w:r>
        <w:rPr>
          <w:rFonts w:ascii="Arial" w:hAnsi="Arial" w:cs="Arial"/>
          <w:noProof/>
          <w:snapToGrid/>
          <w:sz w:val="18"/>
          <w:szCs w:val="18"/>
          <w:lang w:val="es-CO" w:eastAsia="es-CO"/>
        </w:rPr>
        <mc:AlternateContent>
          <mc:Choice Requires="wps">
            <w:drawing>
              <wp:anchor distT="0" distB="0" distL="114300" distR="114300" simplePos="0" relativeHeight="251660288" behindDoc="0" locked="0" layoutInCell="1" allowOverlap="1" wp14:anchorId="0AF8BDF4" wp14:editId="039BF789">
                <wp:simplePos x="0" y="0"/>
                <wp:positionH relativeFrom="column">
                  <wp:posOffset>3131396</wp:posOffset>
                </wp:positionH>
                <wp:positionV relativeFrom="paragraph">
                  <wp:posOffset>233468</wp:posOffset>
                </wp:positionV>
                <wp:extent cx="1707515" cy="195689"/>
                <wp:effectExtent l="0" t="0" r="26035" b="28575"/>
                <wp:wrapNone/>
                <wp:docPr id="3" name="Cuadro de texto 3"/>
                <wp:cNvGraphicFramePr/>
                <a:graphic xmlns:a="http://schemas.openxmlformats.org/drawingml/2006/main">
                  <a:graphicData uri="http://schemas.microsoft.com/office/word/2010/wordprocessingShape">
                    <wps:wsp>
                      <wps:cNvSpPr txBox="1"/>
                      <wps:spPr>
                        <a:xfrm>
                          <a:off x="0" y="0"/>
                          <a:ext cx="1707515" cy="195689"/>
                        </a:xfrm>
                        <a:prstGeom prst="rect">
                          <a:avLst/>
                        </a:prstGeom>
                        <a:noFill/>
                        <a:ln w="6350">
                          <a:solidFill>
                            <a:schemeClr val="bg1"/>
                          </a:solidFill>
                        </a:ln>
                      </wps:spPr>
                      <wps:txbx>
                        <w:txbxContent>
                          <w:p w14:paraId="645B3BD6" w14:textId="77777777" w:rsidR="00096FAB" w:rsidRPr="00045A0B" w:rsidRDefault="00096FAB">
                            <w:pPr>
                              <w:rPr>
                                <w:rFonts w:ascii="Arial" w:hAnsi="Arial" w:cs="Arial"/>
                                <w:sz w:val="12"/>
                                <w:szCs w:val="18"/>
                              </w:rPr>
                            </w:pPr>
                            <w:r w:rsidRPr="00045A0B">
                              <w:rPr>
                                <w:rFonts w:ascii="Arial" w:hAnsi="Arial" w:cs="Arial"/>
                                <w:sz w:val="12"/>
                                <w:szCs w:val="18"/>
                              </w:rPr>
                              <w:t>Deterioro de 1 escala de ponderación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0AF8BDF4" id="_x0000_t202" coordsize="21600,21600" o:spt="202" path="m,l,21600r21600,l21600,xe">
                <v:stroke joinstyle="miter"/>
                <v:path gradientshapeok="t" o:connecttype="rect"/>
              </v:shapetype>
              <v:shape id="Cuadro de texto 3" o:spid="_x0000_s1026" type="#_x0000_t202" style="position:absolute;left:0;text-align:left;margin-left:246.55pt;margin-top:18.4pt;width:134.45pt;height:1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" filled="f" strokecolor="white [3212]" strokeweight=".5pt">
                <v:textbox>
                  <w:txbxContent>
                    <w:p w14:paraId="645B3BD6" w14:textId="77777777" w:rsidR="00096FAB" w:rsidRPr="00045A0B" w:rsidRDefault="00096FAB">
                      <w:pPr>
                        <w:rPr>
                          <w:rFonts w:ascii="Arial" w:hAnsi="Arial" w:cs="Arial"/>
                          <w:sz w:val="12"/>
                          <w:szCs w:val="18"/>
                        </w:rPr>
                      </w:pPr>
                      <w:r w:rsidRPr="00045A0B">
                        <w:rPr>
                          <w:rFonts w:ascii="Arial" w:hAnsi="Arial" w:cs="Arial"/>
                          <w:sz w:val="12"/>
                          <w:szCs w:val="18"/>
                        </w:rPr>
                        <w:t>Deterioro de 1 escala de ponderación</w:t>
                      </w:r>
                    </w:p>
                  </w:txbxContent>
                </v:textbox>
              </v:shape>
            </w:pict>
          </mc:Fallback>
        </mc:AlternateContent>
      </w:r>
      <w:r w:rsidR="00C5387E">
        <w:rPr>
          <w:rFonts w:ascii="Arial" w:hAnsi="Arial" w:cs="Arial"/>
          <w:sz w:val="18"/>
          <w:szCs w:val="18"/>
        </w:rPr>
        <w:t xml:space="preserve">A continuación, se presenta </w:t>
      </w:r>
      <w:r w:rsidR="00CF6537">
        <w:rPr>
          <w:rFonts w:ascii="Arial" w:hAnsi="Arial" w:cs="Arial"/>
          <w:sz w:val="18"/>
          <w:szCs w:val="18"/>
        </w:rPr>
        <w:t>una ilustración de cómo sería</w:t>
      </w:r>
      <w:r w:rsidR="00C5387E">
        <w:rPr>
          <w:rFonts w:ascii="Arial" w:hAnsi="Arial" w:cs="Arial"/>
          <w:sz w:val="18"/>
          <w:szCs w:val="18"/>
        </w:rPr>
        <w:t xml:space="preserve"> el caso en </w:t>
      </w:r>
      <w:r w:rsidR="00CF6537">
        <w:rPr>
          <w:rFonts w:ascii="Arial" w:hAnsi="Arial" w:cs="Arial"/>
          <w:sz w:val="18"/>
          <w:szCs w:val="18"/>
        </w:rPr>
        <w:t xml:space="preserve">el </w:t>
      </w:r>
      <w:r w:rsidR="00C5387E">
        <w:rPr>
          <w:rFonts w:ascii="Arial" w:hAnsi="Arial" w:cs="Arial"/>
          <w:sz w:val="18"/>
          <w:szCs w:val="18"/>
        </w:rPr>
        <w:t>que una contraparte estuviera calificada por riesgo en AAA.</w:t>
      </w:r>
    </w:p>
    <w:p w14:paraId="13A2DC4B" w14:textId="77777777" w:rsidR="00D5376F" w:rsidRDefault="00D5376F" w:rsidP="00045A0B">
      <w:pPr>
        <w:pStyle w:val="Prrafodelista"/>
        <w:ind w:left="360"/>
        <w:jc w:val="both"/>
        <w:rPr>
          <w:rFonts w:ascii="Arial" w:hAnsi="Arial" w:cs="Arial"/>
          <w:sz w:val="18"/>
          <w:szCs w:val="18"/>
        </w:rPr>
      </w:pPr>
    </w:p>
    <w:p w14:paraId="69E9E137" w14:textId="77777777" w:rsidR="00D5376F" w:rsidRPr="006615AB" w:rsidRDefault="00D5376F" w:rsidP="006615AB">
      <w:pPr>
        <w:jc w:val="both"/>
        <w:rPr>
          <w:rFonts w:ascii="Arial" w:hAnsi="Arial" w:cs="Arial"/>
          <w:sz w:val="18"/>
          <w:szCs w:val="18"/>
        </w:rPr>
      </w:pPr>
      <w:r>
        <w:rPr>
          <w:noProof/>
          <w:snapToGrid/>
          <w:lang w:val="es-CO" w:eastAsia="es-CO"/>
        </w:rPr>
        <mc:AlternateContent>
          <mc:Choice Requires="wps">
            <w:drawing>
              <wp:anchor distT="0" distB="0" distL="114300" distR="114300" simplePos="0" relativeHeight="251661312" behindDoc="0" locked="0" layoutInCell="1" allowOverlap="1" wp14:anchorId="1173F799" wp14:editId="28EE5E3C">
                <wp:simplePos x="0" y="0"/>
                <wp:positionH relativeFrom="column">
                  <wp:posOffset>3079141</wp:posOffset>
                </wp:positionH>
                <wp:positionV relativeFrom="paragraph">
                  <wp:posOffset>6145</wp:posOffset>
                </wp:positionV>
                <wp:extent cx="1739850" cy="113413"/>
                <wp:effectExtent l="0" t="0" r="0" b="20320"/>
                <wp:wrapNone/>
                <wp:docPr id="2" name="Flecha curvada hacia abajo 2"/>
                <wp:cNvGraphicFramePr/>
                <a:graphic xmlns:a="http://schemas.openxmlformats.org/drawingml/2006/main">
                  <a:graphicData uri="http://schemas.microsoft.com/office/word/2010/wordprocessingShape">
                    <wps:wsp>
                      <wps:cNvSpPr/>
                      <wps:spPr>
                        <a:xfrm>
                          <a:off x="0" y="0"/>
                          <a:ext cx="1739850" cy="113413"/>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EBC2173"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Flecha curvada hacia abajo 2" o:spid="_x0000_s1026" type="#_x0000_t105" style="position:absolute;margin-left:242.45pt;margin-top:.5pt;width:137pt;height: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" adj="20896,21317,16200" fillcolor="black [3213]" strokecolor="black [3213]" strokeweight=".25pt"/>
            </w:pict>
          </mc:Fallback>
        </mc:AlternateContent>
      </w:r>
    </w:p>
    <w:tbl>
      <w:tblPr>
        <w:tblStyle w:val="Tablaconcuadrcula"/>
        <w:tblW w:w="0" w:type="auto"/>
        <w:tblInd w:w="846" w:type="dxa"/>
        <w:tblLook w:val="04A0" w:firstRow="1" w:lastRow="0" w:firstColumn="1" w:lastColumn="0" w:noHBand="0" w:noVBand="1"/>
      </w:tblPr>
      <w:tblGrid>
        <w:gridCol w:w="2525"/>
        <w:gridCol w:w="3012"/>
        <w:gridCol w:w="2401"/>
      </w:tblGrid>
      <w:tr w:rsidR="00D5376F" w:rsidRPr="006615AB" w14:paraId="77FCCF72" w14:textId="77777777" w:rsidTr="00045A0B">
        <w:tc>
          <w:tcPr>
            <w:tcW w:w="2525" w:type="dxa"/>
          </w:tcPr>
          <w:p w14:paraId="4C71EF1E" w14:textId="77777777" w:rsidR="00D5376F" w:rsidRPr="006615AB" w:rsidRDefault="00D5376F" w:rsidP="00045A0B">
            <w:pPr>
              <w:pStyle w:val="Prrafodelista"/>
              <w:ind w:left="0"/>
              <w:jc w:val="center"/>
              <w:rPr>
                <w:rFonts w:ascii="Arial" w:hAnsi="Arial" w:cs="Arial"/>
                <w:b/>
                <w:sz w:val="16"/>
                <w:szCs w:val="16"/>
              </w:rPr>
            </w:pPr>
            <w:r w:rsidRPr="006615AB">
              <w:rPr>
                <w:rFonts w:ascii="Arial" w:hAnsi="Arial" w:cs="Arial"/>
                <w:b/>
                <w:sz w:val="16"/>
                <w:szCs w:val="16"/>
              </w:rPr>
              <w:t xml:space="preserve">Calificación de riesgo </w:t>
            </w:r>
            <w:r w:rsidR="00C5387E" w:rsidRPr="006615AB">
              <w:rPr>
                <w:rFonts w:ascii="Arial" w:hAnsi="Arial" w:cs="Arial"/>
                <w:b/>
                <w:sz w:val="16"/>
                <w:szCs w:val="16"/>
              </w:rPr>
              <w:t>de la contraparte</w:t>
            </w:r>
          </w:p>
        </w:tc>
        <w:tc>
          <w:tcPr>
            <w:tcW w:w="3012" w:type="dxa"/>
          </w:tcPr>
          <w:p w14:paraId="49EF4091" w14:textId="77777777" w:rsidR="00D5376F" w:rsidRPr="006615AB" w:rsidRDefault="00D5376F" w:rsidP="00045A0B">
            <w:pPr>
              <w:pStyle w:val="Prrafodelista"/>
              <w:ind w:left="0"/>
              <w:jc w:val="center"/>
              <w:rPr>
                <w:rFonts w:ascii="Arial" w:hAnsi="Arial" w:cs="Arial"/>
                <w:b/>
                <w:sz w:val="16"/>
                <w:szCs w:val="16"/>
              </w:rPr>
            </w:pPr>
            <w:r w:rsidRPr="006615AB">
              <w:rPr>
                <w:rFonts w:ascii="Arial" w:hAnsi="Arial" w:cs="Arial"/>
                <w:b/>
                <w:sz w:val="16"/>
                <w:szCs w:val="16"/>
              </w:rPr>
              <w:t xml:space="preserve">AAA </w:t>
            </w:r>
          </w:p>
          <w:p w14:paraId="7A8CDF60" w14:textId="77777777" w:rsidR="00D5376F" w:rsidRPr="006615AB" w:rsidRDefault="00D5376F" w:rsidP="00045A0B">
            <w:pPr>
              <w:pStyle w:val="Prrafodelista"/>
              <w:ind w:left="0"/>
              <w:jc w:val="center"/>
              <w:rPr>
                <w:rFonts w:ascii="Arial" w:hAnsi="Arial" w:cs="Arial"/>
                <w:b/>
                <w:sz w:val="16"/>
                <w:szCs w:val="16"/>
              </w:rPr>
            </w:pPr>
            <w:r w:rsidRPr="006615AB">
              <w:rPr>
                <w:rFonts w:ascii="Arial" w:hAnsi="Arial" w:cs="Arial"/>
                <w:b/>
                <w:sz w:val="16"/>
                <w:szCs w:val="16"/>
              </w:rPr>
              <w:t>a AA-</w:t>
            </w:r>
          </w:p>
        </w:tc>
        <w:tc>
          <w:tcPr>
            <w:tcW w:w="2401" w:type="dxa"/>
          </w:tcPr>
          <w:p w14:paraId="09626AE0" w14:textId="77777777" w:rsidR="00D5376F" w:rsidRPr="006615AB" w:rsidRDefault="00D5376F" w:rsidP="00045A0B">
            <w:pPr>
              <w:pStyle w:val="Prrafodelista"/>
              <w:ind w:left="0"/>
              <w:jc w:val="center"/>
              <w:rPr>
                <w:rFonts w:ascii="Arial" w:hAnsi="Arial" w:cs="Arial"/>
                <w:b/>
                <w:sz w:val="16"/>
                <w:szCs w:val="16"/>
              </w:rPr>
            </w:pPr>
            <w:r w:rsidRPr="006615AB">
              <w:rPr>
                <w:rFonts w:ascii="Arial" w:hAnsi="Arial" w:cs="Arial"/>
                <w:b/>
                <w:sz w:val="16"/>
                <w:szCs w:val="16"/>
              </w:rPr>
              <w:t>A+</w:t>
            </w:r>
          </w:p>
          <w:p w14:paraId="1FAAD6BD" w14:textId="77777777" w:rsidR="00D5376F" w:rsidRPr="006615AB" w:rsidRDefault="00D5376F" w:rsidP="00045A0B">
            <w:pPr>
              <w:pStyle w:val="Prrafodelista"/>
              <w:ind w:left="0"/>
              <w:jc w:val="center"/>
              <w:rPr>
                <w:rFonts w:ascii="Arial" w:hAnsi="Arial" w:cs="Arial"/>
                <w:b/>
                <w:sz w:val="16"/>
                <w:szCs w:val="16"/>
              </w:rPr>
            </w:pPr>
            <w:r w:rsidRPr="006615AB">
              <w:rPr>
                <w:rFonts w:ascii="Arial" w:hAnsi="Arial" w:cs="Arial"/>
                <w:b/>
                <w:sz w:val="16"/>
                <w:szCs w:val="16"/>
              </w:rPr>
              <w:t xml:space="preserve">a </w:t>
            </w:r>
            <w:proofErr w:type="spellStart"/>
            <w:r w:rsidRPr="006615AB">
              <w:rPr>
                <w:rFonts w:ascii="Arial" w:hAnsi="Arial" w:cs="Arial"/>
                <w:b/>
                <w:sz w:val="16"/>
                <w:szCs w:val="16"/>
              </w:rPr>
              <w:t>A</w:t>
            </w:r>
            <w:proofErr w:type="spellEnd"/>
            <w:r w:rsidRPr="006615AB">
              <w:rPr>
                <w:rFonts w:ascii="Arial" w:hAnsi="Arial" w:cs="Arial"/>
                <w:b/>
                <w:sz w:val="16"/>
                <w:szCs w:val="16"/>
              </w:rPr>
              <w:t>-</w:t>
            </w:r>
          </w:p>
        </w:tc>
      </w:tr>
      <w:tr w:rsidR="00D5376F" w:rsidRPr="006615AB" w14:paraId="2CEBCE82" w14:textId="77777777" w:rsidTr="00045A0B">
        <w:tc>
          <w:tcPr>
            <w:tcW w:w="2525" w:type="dxa"/>
          </w:tcPr>
          <w:p w14:paraId="38AF50DC" w14:textId="77777777" w:rsidR="00C66F3F" w:rsidRPr="006615AB" w:rsidRDefault="00C66F3F" w:rsidP="00045A0B">
            <w:pPr>
              <w:pStyle w:val="Prrafodelista"/>
              <w:ind w:left="0"/>
              <w:jc w:val="center"/>
              <w:rPr>
                <w:rFonts w:ascii="Arial" w:hAnsi="Arial" w:cs="Arial"/>
                <w:sz w:val="16"/>
                <w:szCs w:val="16"/>
              </w:rPr>
            </w:pPr>
          </w:p>
          <w:p w14:paraId="38BDD8EC" w14:textId="77777777" w:rsidR="00D5376F" w:rsidRPr="006615AB" w:rsidRDefault="00D5376F" w:rsidP="00045A0B">
            <w:pPr>
              <w:pStyle w:val="Prrafodelista"/>
              <w:ind w:left="0"/>
              <w:jc w:val="center"/>
              <w:rPr>
                <w:rFonts w:ascii="Arial" w:hAnsi="Arial" w:cs="Arial"/>
                <w:sz w:val="16"/>
                <w:szCs w:val="16"/>
              </w:rPr>
            </w:pPr>
            <w:r w:rsidRPr="006615AB">
              <w:rPr>
                <w:rFonts w:ascii="Arial" w:hAnsi="Arial" w:cs="Arial"/>
                <w:sz w:val="16"/>
                <w:szCs w:val="16"/>
              </w:rPr>
              <w:t>Ponderaci</w:t>
            </w:r>
            <w:r w:rsidR="00C5387E" w:rsidRPr="006615AB">
              <w:rPr>
                <w:rFonts w:ascii="Arial" w:hAnsi="Arial" w:cs="Arial"/>
                <w:sz w:val="16"/>
                <w:szCs w:val="16"/>
              </w:rPr>
              <w:t>ón</w:t>
            </w:r>
          </w:p>
        </w:tc>
        <w:tc>
          <w:tcPr>
            <w:tcW w:w="3012" w:type="dxa"/>
          </w:tcPr>
          <w:p w14:paraId="663796C5" w14:textId="77777777" w:rsidR="00C66F3F" w:rsidRPr="006615AB" w:rsidRDefault="00C66F3F" w:rsidP="00096FAB">
            <w:pPr>
              <w:pStyle w:val="Prrafodelista"/>
              <w:ind w:left="0"/>
              <w:jc w:val="both"/>
              <w:rPr>
                <w:rFonts w:ascii="Arial" w:hAnsi="Arial" w:cs="Arial"/>
                <w:sz w:val="16"/>
                <w:szCs w:val="16"/>
              </w:rPr>
            </w:pPr>
          </w:p>
          <w:p w14:paraId="7D9FF6E1" w14:textId="77777777" w:rsidR="00D5376F" w:rsidRPr="006615AB" w:rsidRDefault="00D5376F" w:rsidP="00096FAB">
            <w:pPr>
              <w:pStyle w:val="Prrafodelista"/>
              <w:ind w:left="0"/>
              <w:jc w:val="both"/>
              <w:rPr>
                <w:rFonts w:ascii="Arial" w:hAnsi="Arial" w:cs="Arial"/>
                <w:sz w:val="16"/>
                <w:szCs w:val="16"/>
              </w:rPr>
            </w:pPr>
            <w:r w:rsidRPr="006615AB">
              <w:rPr>
                <w:rFonts w:ascii="Arial" w:hAnsi="Arial" w:cs="Arial"/>
                <w:sz w:val="16"/>
                <w:szCs w:val="16"/>
              </w:rPr>
              <w:t>Ponderación inicial del emisor</w:t>
            </w:r>
          </w:p>
        </w:tc>
        <w:tc>
          <w:tcPr>
            <w:tcW w:w="2401" w:type="dxa"/>
          </w:tcPr>
          <w:p w14:paraId="7CCF047B" w14:textId="77777777" w:rsidR="00D5376F" w:rsidRPr="006615AB" w:rsidRDefault="00D5376F" w:rsidP="00096FAB">
            <w:pPr>
              <w:pStyle w:val="Prrafodelista"/>
              <w:ind w:left="0"/>
              <w:jc w:val="both"/>
              <w:rPr>
                <w:rFonts w:ascii="Arial" w:hAnsi="Arial" w:cs="Arial"/>
                <w:sz w:val="16"/>
                <w:szCs w:val="16"/>
              </w:rPr>
            </w:pPr>
            <w:r w:rsidRPr="006615AB">
              <w:rPr>
                <w:rFonts w:ascii="Arial" w:hAnsi="Arial" w:cs="Arial"/>
                <w:sz w:val="16"/>
                <w:szCs w:val="16"/>
              </w:rPr>
              <w:t>Ponderación que se debe utilizar después de aplicar el deterior</w:t>
            </w:r>
            <w:r w:rsidR="003F7520" w:rsidRPr="006615AB">
              <w:rPr>
                <w:rFonts w:ascii="Arial" w:hAnsi="Arial" w:cs="Arial"/>
                <w:sz w:val="16"/>
                <w:szCs w:val="16"/>
              </w:rPr>
              <w:t>o</w:t>
            </w:r>
          </w:p>
        </w:tc>
      </w:tr>
    </w:tbl>
    <w:p w14:paraId="6D5E1363" w14:textId="77777777" w:rsidR="00D5376F" w:rsidRPr="00F153F6" w:rsidRDefault="00D5376F" w:rsidP="00045A0B">
      <w:pPr>
        <w:pStyle w:val="Prrafodelista"/>
        <w:ind w:left="360"/>
        <w:jc w:val="both"/>
        <w:rPr>
          <w:rFonts w:ascii="Arial" w:hAnsi="Arial" w:cs="Arial"/>
          <w:sz w:val="6"/>
          <w:szCs w:val="6"/>
        </w:rPr>
      </w:pPr>
    </w:p>
    <w:p w14:paraId="4D1AA5B7" w14:textId="77777777" w:rsidR="00BF044E" w:rsidRPr="00131A09" w:rsidRDefault="00BF044E" w:rsidP="00513595">
      <w:pPr>
        <w:pStyle w:val="Prrafodelista"/>
        <w:numPr>
          <w:ilvl w:val="0"/>
          <w:numId w:val="18"/>
        </w:numPr>
        <w:jc w:val="both"/>
        <w:rPr>
          <w:rFonts w:ascii="Arial" w:hAnsi="Arial" w:cs="Arial"/>
          <w:sz w:val="18"/>
          <w:szCs w:val="18"/>
        </w:rPr>
      </w:pPr>
      <w:r w:rsidRPr="00131A09">
        <w:rPr>
          <w:rFonts w:ascii="Arial" w:hAnsi="Arial" w:cs="Arial"/>
          <w:sz w:val="18"/>
          <w:szCs w:val="18"/>
        </w:rPr>
        <w:t xml:space="preserve">Tratándose de países con calificación soberana de largo plazo </w:t>
      </w:r>
      <w:r w:rsidR="004D729D" w:rsidRPr="00131A09">
        <w:rPr>
          <w:rFonts w:ascii="Arial" w:hAnsi="Arial" w:cs="Arial"/>
          <w:sz w:val="18"/>
          <w:szCs w:val="18"/>
        </w:rPr>
        <w:t xml:space="preserve">en la categoría </w:t>
      </w:r>
      <w:r w:rsidRPr="00131A09">
        <w:rPr>
          <w:rFonts w:ascii="Arial" w:hAnsi="Arial" w:cs="Arial"/>
          <w:sz w:val="18"/>
          <w:szCs w:val="18"/>
        </w:rPr>
        <w:t xml:space="preserve">menor a </w:t>
      </w:r>
      <w:r w:rsidR="004D729D" w:rsidRPr="00131A09">
        <w:rPr>
          <w:rFonts w:ascii="Arial" w:hAnsi="Arial" w:cs="Arial"/>
          <w:sz w:val="18"/>
          <w:szCs w:val="18"/>
        </w:rPr>
        <w:t xml:space="preserve">B- </w:t>
      </w:r>
      <w:r w:rsidRPr="00131A09">
        <w:rPr>
          <w:rFonts w:ascii="Arial" w:hAnsi="Arial" w:cs="Arial"/>
          <w:sz w:val="18"/>
          <w:szCs w:val="18"/>
        </w:rPr>
        <w:t xml:space="preserve">y hasta </w:t>
      </w:r>
      <w:r w:rsidR="004D729D" w:rsidRPr="00131A09">
        <w:rPr>
          <w:rFonts w:ascii="Arial" w:hAnsi="Arial" w:cs="Arial"/>
          <w:sz w:val="18"/>
          <w:szCs w:val="18"/>
        </w:rPr>
        <w:t>C</w:t>
      </w:r>
      <w:r w:rsidR="00367BEF" w:rsidRPr="00131A09">
        <w:rPr>
          <w:rFonts w:ascii="Arial" w:hAnsi="Arial" w:cs="Arial"/>
          <w:sz w:val="18"/>
          <w:szCs w:val="18"/>
        </w:rPr>
        <w:t>CC</w:t>
      </w:r>
      <w:r w:rsidR="004D729D" w:rsidRPr="00131A09">
        <w:rPr>
          <w:rFonts w:ascii="Arial" w:hAnsi="Arial" w:cs="Arial"/>
          <w:sz w:val="18"/>
          <w:szCs w:val="18"/>
        </w:rPr>
        <w:t xml:space="preserve"> </w:t>
      </w:r>
      <w:r w:rsidR="00740529" w:rsidRPr="00131A09">
        <w:rPr>
          <w:rFonts w:ascii="Arial" w:hAnsi="Arial" w:cs="Arial"/>
          <w:sz w:val="18"/>
          <w:szCs w:val="18"/>
        </w:rPr>
        <w:t xml:space="preserve">se </w:t>
      </w:r>
      <w:r w:rsidR="00CA3B49" w:rsidRPr="00131A09">
        <w:rPr>
          <w:rFonts w:ascii="Arial" w:hAnsi="Arial" w:cs="Arial"/>
          <w:sz w:val="18"/>
          <w:szCs w:val="18"/>
        </w:rPr>
        <w:t>debe utilizar l</w:t>
      </w:r>
      <w:r w:rsidR="001B6743" w:rsidRPr="00131A09">
        <w:rPr>
          <w:rFonts w:ascii="Arial" w:hAnsi="Arial" w:cs="Arial"/>
          <w:sz w:val="18"/>
          <w:szCs w:val="18"/>
        </w:rPr>
        <w:t>a</w:t>
      </w:r>
      <w:r w:rsidR="00CA3B49" w:rsidRPr="00131A09">
        <w:rPr>
          <w:rFonts w:ascii="Arial" w:hAnsi="Arial" w:cs="Arial"/>
          <w:sz w:val="18"/>
          <w:szCs w:val="18"/>
        </w:rPr>
        <w:t xml:space="preserve"> ponderación de riesgo deteriorando dos escalas de ponderación a la que resulte aplicable a la contraparte de conformidad con el artículo 2</w:t>
      </w:r>
      <w:r w:rsidR="00611938" w:rsidRPr="00131A09">
        <w:rPr>
          <w:rFonts w:ascii="Arial" w:hAnsi="Arial" w:cs="Arial"/>
          <w:sz w:val="18"/>
          <w:szCs w:val="18"/>
        </w:rPr>
        <w:t>.</w:t>
      </w:r>
      <w:r w:rsidR="00CA3B49" w:rsidRPr="00131A09">
        <w:rPr>
          <w:rFonts w:ascii="Arial" w:hAnsi="Arial" w:cs="Arial"/>
          <w:sz w:val="18"/>
          <w:szCs w:val="18"/>
        </w:rPr>
        <w:t>1.1.3.2 del Decreto 2555 de 2010</w:t>
      </w:r>
      <w:r w:rsidRPr="00131A09">
        <w:rPr>
          <w:rFonts w:ascii="Arial" w:hAnsi="Arial" w:cs="Arial"/>
          <w:sz w:val="18"/>
          <w:szCs w:val="18"/>
        </w:rPr>
        <w:t>.</w:t>
      </w:r>
    </w:p>
    <w:p w14:paraId="125434ED" w14:textId="77777777" w:rsidR="00EF0B24" w:rsidRPr="00131A09" w:rsidRDefault="00BF044E" w:rsidP="009E37AA">
      <w:pPr>
        <w:pStyle w:val="Prrafodelista"/>
        <w:numPr>
          <w:ilvl w:val="0"/>
          <w:numId w:val="18"/>
        </w:numPr>
        <w:jc w:val="both"/>
        <w:rPr>
          <w:rFonts w:ascii="Arial" w:hAnsi="Arial" w:cs="Arial"/>
          <w:sz w:val="18"/>
          <w:szCs w:val="18"/>
        </w:rPr>
      </w:pPr>
      <w:r w:rsidRPr="00131A09">
        <w:rPr>
          <w:rFonts w:ascii="Arial" w:hAnsi="Arial" w:cs="Arial"/>
          <w:sz w:val="18"/>
          <w:szCs w:val="18"/>
        </w:rPr>
        <w:t xml:space="preserve">Tratándose de países con calificación soberana de largo plazo menor a </w:t>
      </w:r>
      <w:r w:rsidR="00A52853" w:rsidRPr="00131A09">
        <w:rPr>
          <w:rFonts w:ascii="Arial" w:hAnsi="Arial" w:cs="Arial"/>
          <w:sz w:val="18"/>
          <w:szCs w:val="18"/>
        </w:rPr>
        <w:t>C</w:t>
      </w:r>
      <w:r w:rsidRPr="00131A09">
        <w:rPr>
          <w:rFonts w:ascii="Arial" w:hAnsi="Arial" w:cs="Arial"/>
          <w:sz w:val="18"/>
          <w:szCs w:val="18"/>
        </w:rPr>
        <w:t xml:space="preserve"> </w:t>
      </w:r>
      <w:r w:rsidR="00740529" w:rsidRPr="00131A09">
        <w:rPr>
          <w:rFonts w:ascii="Arial" w:hAnsi="Arial" w:cs="Arial"/>
          <w:sz w:val="18"/>
          <w:szCs w:val="18"/>
        </w:rPr>
        <w:t xml:space="preserve">se </w:t>
      </w:r>
      <w:r w:rsidR="00CA3B49" w:rsidRPr="00131A09">
        <w:rPr>
          <w:rFonts w:ascii="Arial" w:hAnsi="Arial" w:cs="Arial"/>
          <w:sz w:val="18"/>
          <w:szCs w:val="18"/>
        </w:rPr>
        <w:t>debe utilizar l</w:t>
      </w:r>
      <w:r w:rsidR="001B6743" w:rsidRPr="00131A09">
        <w:rPr>
          <w:rFonts w:ascii="Arial" w:hAnsi="Arial" w:cs="Arial"/>
          <w:sz w:val="18"/>
          <w:szCs w:val="18"/>
        </w:rPr>
        <w:t>a</w:t>
      </w:r>
      <w:r w:rsidR="00CA3B49" w:rsidRPr="00131A09">
        <w:rPr>
          <w:rFonts w:ascii="Arial" w:hAnsi="Arial" w:cs="Arial"/>
          <w:sz w:val="18"/>
          <w:szCs w:val="18"/>
        </w:rPr>
        <w:t xml:space="preserve"> ponderación de riesgo deteriorando tres escalas de ponderación a la que resulte aplicable a la contraparte de conformidad con el artículo 2</w:t>
      </w:r>
      <w:r w:rsidR="00611938" w:rsidRPr="00131A09">
        <w:rPr>
          <w:rFonts w:ascii="Arial" w:hAnsi="Arial" w:cs="Arial"/>
          <w:sz w:val="18"/>
          <w:szCs w:val="18"/>
        </w:rPr>
        <w:t>.</w:t>
      </w:r>
      <w:r w:rsidR="00CA3B49" w:rsidRPr="00131A09">
        <w:rPr>
          <w:rFonts w:ascii="Arial" w:hAnsi="Arial" w:cs="Arial"/>
          <w:sz w:val="18"/>
          <w:szCs w:val="18"/>
        </w:rPr>
        <w:t>1.1.3.2 del Decreto 2555 de 2010</w:t>
      </w:r>
      <w:r w:rsidRPr="00131A09">
        <w:rPr>
          <w:rFonts w:ascii="Arial" w:hAnsi="Arial" w:cs="Arial"/>
          <w:sz w:val="18"/>
          <w:szCs w:val="18"/>
        </w:rPr>
        <w:t>.</w:t>
      </w:r>
    </w:p>
    <w:p w14:paraId="437F1A99" w14:textId="77777777" w:rsidR="001E11BE" w:rsidRPr="00131A09" w:rsidRDefault="001E11BE" w:rsidP="00E51F8C">
      <w:pPr>
        <w:jc w:val="both"/>
        <w:outlineLvl w:val="0"/>
        <w:rPr>
          <w:rFonts w:ascii="Arial" w:hAnsi="Arial" w:cs="Arial"/>
          <w:sz w:val="18"/>
          <w:szCs w:val="18"/>
        </w:rPr>
      </w:pPr>
    </w:p>
    <w:p w14:paraId="7E2C49C0" w14:textId="77777777" w:rsidR="00E51F8C" w:rsidRPr="00131A09" w:rsidRDefault="00E51F8C" w:rsidP="00E343EE">
      <w:pPr>
        <w:pStyle w:val="Prrafodelista"/>
        <w:numPr>
          <w:ilvl w:val="3"/>
          <w:numId w:val="38"/>
        </w:numPr>
        <w:jc w:val="both"/>
        <w:outlineLvl w:val="2"/>
        <w:rPr>
          <w:rFonts w:ascii="Arial" w:hAnsi="Arial" w:cs="Arial"/>
          <w:sz w:val="18"/>
          <w:szCs w:val="18"/>
        </w:rPr>
      </w:pPr>
      <w:r w:rsidRPr="00131A09">
        <w:rPr>
          <w:rFonts w:ascii="Arial" w:hAnsi="Arial" w:cs="Arial"/>
          <w:sz w:val="18"/>
          <w:szCs w:val="18"/>
        </w:rPr>
        <w:t>Correspondencia entre las calificaciones de riesgo de las sociedades calificadoras de riesgo</w:t>
      </w:r>
    </w:p>
    <w:p w14:paraId="041659B8" w14:textId="77777777" w:rsidR="00E51F8C" w:rsidRPr="00131A09" w:rsidRDefault="00E51F8C" w:rsidP="00E51F8C">
      <w:pPr>
        <w:jc w:val="both"/>
        <w:rPr>
          <w:rFonts w:ascii="Arial" w:hAnsi="Arial" w:cs="Arial"/>
          <w:sz w:val="18"/>
          <w:szCs w:val="18"/>
        </w:rPr>
      </w:pPr>
    </w:p>
    <w:p w14:paraId="687C8AD5" w14:textId="77777777" w:rsidR="005E4CD3" w:rsidRPr="00131A09" w:rsidRDefault="00E51F8C" w:rsidP="00E51F8C">
      <w:pPr>
        <w:jc w:val="both"/>
        <w:outlineLvl w:val="0"/>
        <w:rPr>
          <w:rFonts w:ascii="Arial" w:hAnsi="Arial" w:cs="Arial"/>
          <w:sz w:val="18"/>
          <w:szCs w:val="18"/>
        </w:rPr>
      </w:pPr>
      <w:r w:rsidRPr="00131A09">
        <w:rPr>
          <w:rFonts w:ascii="Arial" w:hAnsi="Arial" w:cs="Arial"/>
          <w:sz w:val="18"/>
          <w:szCs w:val="18"/>
        </w:rPr>
        <w:t xml:space="preserve">A efectos de establecer la correspondencia entre las categorías de ponderación a que se refiere el artículo 2.1.1.3.2 del Decreto 2555 de 2010 y las calificaciones de riesgo de las sociedades calificadoras de riesgo, se debe tener en cuenta la información publicada en la página web de esta Superintendencia a través del vínculo </w:t>
      </w:r>
      <w:hyperlink r:id="rId11" w:history="1">
        <w:r w:rsidR="0057441B" w:rsidRPr="00131A09">
          <w:rPr>
            <w:rStyle w:val="Hipervnculo"/>
            <w:rFonts w:ascii="Arial" w:hAnsi="Arial" w:cs="Arial"/>
            <w:sz w:val="18"/>
            <w:szCs w:val="18"/>
          </w:rPr>
          <w:t>https://www.superfinanciera.gov.co/descargas?com=institucional&amp;name=pubFile13093&amp;downloadname=codigoscalificaciones.xls</w:t>
        </w:r>
      </w:hyperlink>
      <w:r w:rsidR="0057441B" w:rsidRPr="00131A09">
        <w:rPr>
          <w:rFonts w:ascii="Arial" w:hAnsi="Arial" w:cs="Arial"/>
          <w:sz w:val="18"/>
          <w:szCs w:val="18"/>
        </w:rPr>
        <w:t xml:space="preserve"> o en el link</w:t>
      </w:r>
      <w:r w:rsidR="00430C52" w:rsidRPr="00131A09">
        <w:rPr>
          <w:rFonts w:ascii="Arial" w:hAnsi="Arial" w:cs="Arial"/>
          <w:sz w:val="18"/>
          <w:szCs w:val="18"/>
        </w:rPr>
        <w:t xml:space="preserve"> “Códigos calificaciones</w:t>
      </w:r>
      <w:r w:rsidR="00DF5978" w:rsidRPr="00131A09">
        <w:rPr>
          <w:rFonts w:ascii="Arial" w:hAnsi="Arial" w:cs="Arial"/>
          <w:sz w:val="18"/>
          <w:szCs w:val="18"/>
        </w:rPr>
        <w:t>” que se encuentra</w:t>
      </w:r>
      <w:r w:rsidR="00430C52" w:rsidRPr="00131A09">
        <w:rPr>
          <w:rFonts w:ascii="Arial" w:hAnsi="Arial" w:cs="Arial"/>
          <w:sz w:val="18"/>
          <w:szCs w:val="18"/>
        </w:rPr>
        <w:t xml:space="preserve"> en el vínculo </w:t>
      </w:r>
      <w:hyperlink r:id="rId12" w:history="1">
        <w:r w:rsidR="00430C52" w:rsidRPr="00131A09">
          <w:rPr>
            <w:rStyle w:val="Hipervnculo"/>
            <w:rFonts w:ascii="Arial" w:hAnsi="Arial" w:cs="Arial"/>
            <w:sz w:val="18"/>
            <w:szCs w:val="18"/>
          </w:rPr>
          <w:t>https://www.superfinanciera.gov.co/jsp/15017</w:t>
        </w:r>
      </w:hyperlink>
      <w:r w:rsidR="00430C52" w:rsidRPr="00131A09">
        <w:rPr>
          <w:rStyle w:val="Hipervnculo"/>
          <w:rFonts w:ascii="Arial" w:hAnsi="Arial" w:cs="Arial"/>
          <w:sz w:val="18"/>
          <w:szCs w:val="18"/>
        </w:rPr>
        <w:t>.</w:t>
      </w:r>
    </w:p>
    <w:p w14:paraId="0CE706EB" w14:textId="77777777" w:rsidR="00E51F8C" w:rsidRPr="00131A09" w:rsidRDefault="00E51F8C" w:rsidP="00E51F8C">
      <w:pPr>
        <w:jc w:val="both"/>
        <w:outlineLvl w:val="0"/>
        <w:rPr>
          <w:rFonts w:ascii="Arial" w:hAnsi="Arial" w:cs="Arial"/>
          <w:sz w:val="18"/>
          <w:szCs w:val="18"/>
        </w:rPr>
      </w:pPr>
    </w:p>
    <w:p w14:paraId="16010A50" w14:textId="77777777" w:rsidR="00E51F8C" w:rsidRPr="00131A09" w:rsidRDefault="00E51F8C" w:rsidP="009A2EAC">
      <w:pPr>
        <w:pStyle w:val="Prrafodelista"/>
        <w:numPr>
          <w:ilvl w:val="3"/>
          <w:numId w:val="38"/>
        </w:numPr>
        <w:jc w:val="both"/>
        <w:outlineLvl w:val="2"/>
        <w:rPr>
          <w:rFonts w:ascii="Arial" w:hAnsi="Arial" w:cs="Arial"/>
          <w:sz w:val="18"/>
          <w:szCs w:val="18"/>
        </w:rPr>
      </w:pPr>
      <w:proofErr w:type="gramStart"/>
      <w:r w:rsidRPr="00131A09">
        <w:rPr>
          <w:rFonts w:ascii="Arial" w:hAnsi="Arial" w:cs="Arial"/>
          <w:sz w:val="18"/>
          <w:szCs w:val="18"/>
        </w:rPr>
        <w:t>Calificación a utilizar</w:t>
      </w:r>
      <w:proofErr w:type="gramEnd"/>
      <w:r w:rsidRPr="00131A09">
        <w:rPr>
          <w:rFonts w:ascii="Arial" w:hAnsi="Arial" w:cs="Arial"/>
          <w:sz w:val="18"/>
          <w:szCs w:val="18"/>
        </w:rPr>
        <w:t xml:space="preserve"> cuando exista más de una calificación vigente otorgada por diferentes sociedades calificadoras de riesgo</w:t>
      </w:r>
    </w:p>
    <w:p w14:paraId="40F56798" w14:textId="77777777" w:rsidR="00E51F8C" w:rsidRPr="00131A09" w:rsidRDefault="00E51F8C" w:rsidP="00E51F8C">
      <w:pPr>
        <w:jc w:val="both"/>
        <w:outlineLvl w:val="0"/>
        <w:rPr>
          <w:rFonts w:ascii="Arial" w:hAnsi="Arial" w:cs="Arial"/>
          <w:sz w:val="18"/>
          <w:szCs w:val="18"/>
          <w:highlight w:val="yellow"/>
        </w:rPr>
      </w:pPr>
    </w:p>
    <w:p w14:paraId="21940577" w14:textId="77777777" w:rsidR="00E51F8C" w:rsidRPr="00131A09" w:rsidRDefault="00E51F8C" w:rsidP="00E51F8C">
      <w:pPr>
        <w:jc w:val="both"/>
        <w:outlineLvl w:val="0"/>
        <w:rPr>
          <w:rFonts w:ascii="Arial" w:hAnsi="Arial" w:cs="Arial"/>
          <w:sz w:val="18"/>
          <w:szCs w:val="18"/>
        </w:rPr>
      </w:pPr>
      <w:r w:rsidRPr="00131A09">
        <w:rPr>
          <w:rFonts w:ascii="Arial" w:hAnsi="Arial" w:cs="Arial"/>
          <w:sz w:val="18"/>
          <w:szCs w:val="18"/>
        </w:rPr>
        <w:t>Cuando un activo, exposición o contingencia tenga dos calificaciones vigentes otorgadas por diferentes calificadoras de riesgo asociadas a ponderaciones por riesgo diferentes, se aplicará la ponderación por riesgo más alta. Si existieran tres o más calificaciones con distintas ponderaciones por riesgo, se deben considerar las dos calificaciones con las ponderaciones por riesgo más bajas, si éstas arrojaran la misma ponderación por riesgo, debe aplicarse dicha ponderación; si la ponderación es diferente, debe aplicarse la más alta.</w:t>
      </w:r>
    </w:p>
    <w:p w14:paraId="46A27880" w14:textId="77777777" w:rsidR="00E51F8C" w:rsidRPr="00131A09" w:rsidRDefault="00E51F8C" w:rsidP="00E51F8C">
      <w:pPr>
        <w:jc w:val="both"/>
        <w:outlineLvl w:val="0"/>
        <w:rPr>
          <w:rFonts w:ascii="Arial" w:hAnsi="Arial" w:cs="Arial"/>
          <w:sz w:val="18"/>
          <w:szCs w:val="18"/>
        </w:rPr>
      </w:pPr>
    </w:p>
    <w:p w14:paraId="61F5B145" w14:textId="24EF8B9C" w:rsidR="0000491B" w:rsidRPr="00131A09" w:rsidRDefault="00FC4B32" w:rsidP="00ED30F5">
      <w:pPr>
        <w:pStyle w:val="Prrafodelista"/>
        <w:numPr>
          <w:ilvl w:val="2"/>
          <w:numId w:val="38"/>
        </w:numPr>
        <w:pBdr>
          <w:left w:val="single" w:sz="4" w:space="4" w:color="auto"/>
        </w:pBdr>
        <w:jc w:val="both"/>
        <w:outlineLvl w:val="2"/>
        <w:rPr>
          <w:rFonts w:ascii="Arial" w:hAnsi="Arial" w:cs="Arial"/>
          <w:sz w:val="18"/>
          <w:szCs w:val="18"/>
        </w:rPr>
      </w:pPr>
      <w:r w:rsidRPr="00131A09">
        <w:rPr>
          <w:rFonts w:ascii="Arial" w:hAnsi="Arial" w:cs="Arial"/>
          <w:b/>
          <w:bCs/>
          <w:sz w:val="18"/>
          <w:szCs w:val="18"/>
        </w:rPr>
        <w:t>Entidades de Contrapartida Central (ECC) extranjera</w:t>
      </w:r>
      <w:r w:rsidR="004338DD" w:rsidRPr="00131A09">
        <w:rPr>
          <w:rFonts w:ascii="Arial" w:hAnsi="Arial" w:cs="Arial"/>
          <w:b/>
          <w:bCs/>
          <w:sz w:val="18"/>
          <w:szCs w:val="18"/>
        </w:rPr>
        <w:t>s reconocidas como equivalentes por la SFC</w:t>
      </w:r>
      <w:r w:rsidRPr="00131A09">
        <w:rPr>
          <w:rFonts w:ascii="Arial" w:hAnsi="Arial" w:cs="Arial"/>
          <w:b/>
          <w:bCs/>
          <w:sz w:val="18"/>
          <w:szCs w:val="18"/>
        </w:rPr>
        <w:t xml:space="preserve"> y</w:t>
      </w:r>
      <w:r w:rsidRPr="00131A09">
        <w:rPr>
          <w:rFonts w:ascii="Arial" w:hAnsi="Arial" w:cs="Arial"/>
          <w:sz w:val="18"/>
          <w:szCs w:val="18"/>
        </w:rPr>
        <w:t xml:space="preserve"> </w:t>
      </w:r>
      <w:r w:rsidR="00D10939" w:rsidRPr="00131A09">
        <w:rPr>
          <w:rFonts w:ascii="Arial" w:hAnsi="Arial" w:cs="Arial"/>
          <w:sz w:val="18"/>
          <w:szCs w:val="18"/>
        </w:rPr>
        <w:t xml:space="preserve">otras </w:t>
      </w:r>
      <w:r w:rsidR="0000491B" w:rsidRPr="00131A09">
        <w:rPr>
          <w:rFonts w:ascii="Arial" w:hAnsi="Arial" w:cs="Arial"/>
          <w:sz w:val="18"/>
          <w:szCs w:val="18"/>
        </w:rPr>
        <w:t>agencias y organismos que ponderan al 0%</w:t>
      </w:r>
    </w:p>
    <w:p w14:paraId="299E9E0D" w14:textId="2C497382" w:rsidR="0000491B" w:rsidRPr="00131A09" w:rsidRDefault="0000491B" w:rsidP="004554D2">
      <w:pPr>
        <w:jc w:val="both"/>
        <w:rPr>
          <w:rFonts w:ascii="Arial" w:hAnsi="Arial" w:cs="Arial"/>
          <w:sz w:val="18"/>
          <w:szCs w:val="18"/>
        </w:rPr>
      </w:pPr>
    </w:p>
    <w:p w14:paraId="18E11A7F" w14:textId="65D0AF4A" w:rsidR="00D10939" w:rsidRPr="00131A09" w:rsidRDefault="004338DD" w:rsidP="00ED30F5">
      <w:pPr>
        <w:pStyle w:val="Prrafodelista"/>
        <w:numPr>
          <w:ilvl w:val="3"/>
          <w:numId w:val="38"/>
        </w:numPr>
        <w:pBdr>
          <w:left w:val="single" w:sz="4" w:space="4" w:color="auto"/>
        </w:pBdr>
        <w:jc w:val="both"/>
        <w:rPr>
          <w:rFonts w:ascii="Arial" w:hAnsi="Arial" w:cs="Arial"/>
          <w:b/>
          <w:bCs/>
          <w:sz w:val="18"/>
          <w:szCs w:val="18"/>
        </w:rPr>
      </w:pPr>
      <w:r w:rsidRPr="00131A09">
        <w:rPr>
          <w:rFonts w:ascii="Arial" w:hAnsi="Arial" w:cs="Arial"/>
          <w:b/>
          <w:bCs/>
          <w:sz w:val="18"/>
          <w:szCs w:val="18"/>
        </w:rPr>
        <w:t>Entidades de Contrapartida Central (ECC) extranjeras reconocidas como equivalentes por la SFC</w:t>
      </w:r>
    </w:p>
    <w:p w14:paraId="11E1842D" w14:textId="02255075" w:rsidR="004338DD" w:rsidRPr="00131A09" w:rsidRDefault="004338DD" w:rsidP="00ED30F5">
      <w:pPr>
        <w:pBdr>
          <w:left w:val="single" w:sz="4" w:space="4" w:color="auto"/>
        </w:pBdr>
        <w:jc w:val="both"/>
        <w:rPr>
          <w:rFonts w:ascii="Arial" w:hAnsi="Arial" w:cs="Arial"/>
          <w:sz w:val="18"/>
          <w:szCs w:val="18"/>
        </w:rPr>
      </w:pPr>
    </w:p>
    <w:p w14:paraId="6C8C4768" w14:textId="49FA376E" w:rsidR="004338DD" w:rsidRPr="00131A09" w:rsidRDefault="004338DD" w:rsidP="00E50910">
      <w:pPr>
        <w:pBdr>
          <w:left w:val="single" w:sz="4" w:space="4" w:color="auto"/>
        </w:pBdr>
        <w:ind w:right="20"/>
        <w:jc w:val="both"/>
        <w:rPr>
          <w:rFonts w:ascii="Arial" w:hAnsi="Arial" w:cs="Arial"/>
          <w:b/>
          <w:bCs/>
          <w:sz w:val="18"/>
          <w:szCs w:val="18"/>
        </w:rPr>
      </w:pPr>
      <w:r w:rsidRPr="00131A09">
        <w:rPr>
          <w:rFonts w:ascii="Arial" w:hAnsi="Arial" w:cs="Arial"/>
          <w:b/>
          <w:bCs/>
          <w:sz w:val="18"/>
          <w:szCs w:val="18"/>
          <w:lang w:val="es-ES"/>
        </w:rPr>
        <w:t xml:space="preserve">Se debe asignar una ponderación de 0% a la exposición por riesgo de crédito de contraparte en las operaciones aceptadas por una </w:t>
      </w:r>
      <w:r w:rsidR="004E1655" w:rsidRPr="00131A09">
        <w:rPr>
          <w:rFonts w:ascii="Arial" w:hAnsi="Arial" w:cs="Arial"/>
          <w:b/>
          <w:bCs/>
          <w:sz w:val="18"/>
          <w:szCs w:val="18"/>
          <w:lang w:val="es-ES"/>
        </w:rPr>
        <w:t>ECC</w:t>
      </w:r>
      <w:r w:rsidRPr="00131A09">
        <w:rPr>
          <w:rFonts w:ascii="Arial" w:hAnsi="Arial" w:cs="Arial"/>
          <w:b/>
          <w:bCs/>
          <w:sz w:val="18"/>
          <w:szCs w:val="18"/>
          <w:lang w:val="es-ES"/>
        </w:rPr>
        <w:t xml:space="preserve"> extranjera reconocida como equivalente por la SFC y a la exposición de riesgo de crédito de contraparte de las garantías otorgadas a una </w:t>
      </w:r>
      <w:r w:rsidR="004E1655" w:rsidRPr="00131A09">
        <w:rPr>
          <w:rFonts w:ascii="Arial" w:hAnsi="Arial" w:cs="Arial"/>
          <w:b/>
          <w:bCs/>
          <w:sz w:val="18"/>
          <w:szCs w:val="18"/>
          <w:lang w:val="es-ES"/>
        </w:rPr>
        <w:t>ECC</w:t>
      </w:r>
      <w:r w:rsidRPr="00131A09">
        <w:rPr>
          <w:rFonts w:ascii="Arial" w:hAnsi="Arial" w:cs="Arial"/>
          <w:b/>
          <w:bCs/>
          <w:sz w:val="18"/>
          <w:szCs w:val="18"/>
          <w:lang w:val="es-ES"/>
        </w:rPr>
        <w:t xml:space="preserve"> extranjera reconocida como equivalente por la SFC</w:t>
      </w:r>
      <w:r w:rsidR="00604453">
        <w:rPr>
          <w:rFonts w:ascii="Arial" w:hAnsi="Arial" w:cs="Arial"/>
          <w:b/>
          <w:bCs/>
          <w:sz w:val="18"/>
          <w:szCs w:val="18"/>
          <w:lang w:val="es-ES"/>
        </w:rPr>
        <w:t xml:space="preserve">. Lo anterior, </w:t>
      </w:r>
      <w:r w:rsidR="002E63F4" w:rsidRPr="002E63F4">
        <w:rPr>
          <w:rFonts w:ascii="Arial" w:hAnsi="Arial" w:cs="Arial"/>
          <w:b/>
          <w:bCs/>
          <w:sz w:val="18"/>
          <w:szCs w:val="18"/>
          <w:lang w:val="es-ES"/>
        </w:rPr>
        <w:t xml:space="preserve">de conformidad con el listado publicado en la página web de la </w:t>
      </w:r>
      <w:r w:rsidR="0054745D">
        <w:rPr>
          <w:rFonts w:ascii="Arial" w:hAnsi="Arial" w:cs="Arial"/>
          <w:b/>
          <w:bCs/>
          <w:sz w:val="18"/>
          <w:szCs w:val="18"/>
          <w:lang w:val="es-ES"/>
        </w:rPr>
        <w:t>SFC</w:t>
      </w:r>
      <w:r w:rsidR="002E63F4" w:rsidRPr="002E63F4">
        <w:rPr>
          <w:rFonts w:ascii="Arial" w:hAnsi="Arial" w:cs="Arial"/>
          <w:b/>
          <w:bCs/>
          <w:sz w:val="18"/>
          <w:szCs w:val="18"/>
          <w:lang w:val="es-ES"/>
        </w:rPr>
        <w:t>.</w:t>
      </w:r>
    </w:p>
    <w:p w14:paraId="7EB748A5" w14:textId="180CE33D" w:rsidR="00D10939" w:rsidRPr="00131A09" w:rsidRDefault="00D10939" w:rsidP="00ED30F5">
      <w:pPr>
        <w:pBdr>
          <w:left w:val="single" w:sz="4" w:space="4" w:color="auto"/>
        </w:pBdr>
        <w:jc w:val="both"/>
        <w:rPr>
          <w:rFonts w:ascii="Arial" w:hAnsi="Arial" w:cs="Arial"/>
          <w:b/>
          <w:bCs/>
          <w:sz w:val="18"/>
          <w:szCs w:val="18"/>
        </w:rPr>
      </w:pPr>
    </w:p>
    <w:p w14:paraId="4176554E" w14:textId="683098E6" w:rsidR="00D10939" w:rsidRPr="00131A09" w:rsidRDefault="00D10939" w:rsidP="00ED30F5">
      <w:pPr>
        <w:pBdr>
          <w:left w:val="single" w:sz="4" w:space="4" w:color="auto"/>
        </w:pBdr>
        <w:jc w:val="both"/>
        <w:rPr>
          <w:rFonts w:ascii="Arial" w:hAnsi="Arial" w:cs="Arial"/>
          <w:b/>
          <w:bCs/>
          <w:sz w:val="18"/>
          <w:szCs w:val="18"/>
        </w:rPr>
      </w:pPr>
      <w:r w:rsidRPr="00131A09">
        <w:rPr>
          <w:rFonts w:ascii="Arial" w:hAnsi="Arial" w:cs="Arial"/>
          <w:b/>
          <w:bCs/>
          <w:sz w:val="18"/>
          <w:szCs w:val="18"/>
        </w:rPr>
        <w:t>2.4.5.2. Otras agencias y organismos que ponderan al 0%</w:t>
      </w:r>
    </w:p>
    <w:p w14:paraId="2B66A904" w14:textId="77777777" w:rsidR="00D10939" w:rsidRPr="00131A09" w:rsidRDefault="00D10939" w:rsidP="004554D2">
      <w:pPr>
        <w:jc w:val="both"/>
        <w:rPr>
          <w:rFonts w:ascii="Arial" w:hAnsi="Arial" w:cs="Arial"/>
          <w:sz w:val="18"/>
          <w:szCs w:val="18"/>
        </w:rPr>
      </w:pPr>
    </w:p>
    <w:p w14:paraId="45222779" w14:textId="1856F37D" w:rsidR="00B45B52" w:rsidRPr="00131A09" w:rsidRDefault="0000491B" w:rsidP="00D42423">
      <w:pPr>
        <w:jc w:val="both"/>
        <w:rPr>
          <w:rFonts w:ascii="Arial" w:hAnsi="Arial" w:cs="Arial"/>
          <w:sz w:val="18"/>
          <w:szCs w:val="18"/>
        </w:rPr>
      </w:pPr>
      <w:r w:rsidRPr="00131A09">
        <w:rPr>
          <w:rFonts w:ascii="Arial" w:hAnsi="Arial" w:cs="Arial"/>
          <w:sz w:val="18"/>
          <w:szCs w:val="18"/>
        </w:rPr>
        <w:t>Para efectos de lo</w:t>
      </w:r>
      <w:r w:rsidR="00B45B52" w:rsidRPr="00131A09">
        <w:rPr>
          <w:rFonts w:ascii="Arial" w:hAnsi="Arial" w:cs="Arial"/>
          <w:sz w:val="18"/>
          <w:szCs w:val="18"/>
        </w:rPr>
        <w:t xml:space="preserve"> señalado</w:t>
      </w:r>
      <w:r w:rsidRPr="00131A09">
        <w:rPr>
          <w:rFonts w:ascii="Arial" w:hAnsi="Arial" w:cs="Arial"/>
          <w:sz w:val="18"/>
          <w:szCs w:val="18"/>
        </w:rPr>
        <w:t xml:space="preserve"> en el literal d) numeral 1 del artículo 2.1.1.3.2. del Decreto 2555 de 2010</w:t>
      </w:r>
      <w:r w:rsidR="00CF6537" w:rsidRPr="00131A09">
        <w:rPr>
          <w:rFonts w:ascii="Arial" w:hAnsi="Arial" w:cs="Arial"/>
          <w:sz w:val="18"/>
          <w:szCs w:val="18"/>
        </w:rPr>
        <w:t>,</w:t>
      </w:r>
      <w:r w:rsidR="00B45B52" w:rsidRPr="00131A09">
        <w:rPr>
          <w:rFonts w:ascii="Arial" w:hAnsi="Arial" w:cs="Arial"/>
          <w:sz w:val="18"/>
          <w:szCs w:val="18"/>
        </w:rPr>
        <w:t xml:space="preserve"> las entidades </w:t>
      </w:r>
      <w:r w:rsidR="004932A8" w:rsidRPr="00131A09">
        <w:rPr>
          <w:rFonts w:ascii="Arial" w:hAnsi="Arial" w:cs="Arial"/>
          <w:sz w:val="18"/>
          <w:szCs w:val="18"/>
        </w:rPr>
        <w:t>deben presentar</w:t>
      </w:r>
      <w:r w:rsidR="00B45B52" w:rsidRPr="00131A09">
        <w:rPr>
          <w:rFonts w:ascii="Arial" w:hAnsi="Arial" w:cs="Arial"/>
          <w:sz w:val="18"/>
          <w:szCs w:val="18"/>
        </w:rPr>
        <w:t xml:space="preserve"> para no objeción de la SFC </w:t>
      </w:r>
      <w:r w:rsidRPr="00131A09">
        <w:rPr>
          <w:rFonts w:ascii="Arial" w:hAnsi="Arial" w:cs="Arial"/>
          <w:sz w:val="18"/>
          <w:szCs w:val="18"/>
        </w:rPr>
        <w:t xml:space="preserve">los </w:t>
      </w:r>
      <w:r w:rsidR="00BD1269" w:rsidRPr="00131A09">
        <w:rPr>
          <w:rFonts w:ascii="Arial" w:hAnsi="Arial" w:cs="Arial"/>
          <w:sz w:val="18"/>
          <w:szCs w:val="18"/>
        </w:rPr>
        <w:t>otros</w:t>
      </w:r>
      <w:r w:rsidR="00B45B52" w:rsidRPr="00131A09">
        <w:rPr>
          <w:rFonts w:ascii="Arial" w:hAnsi="Arial" w:cs="Arial"/>
          <w:sz w:val="18"/>
          <w:szCs w:val="18"/>
        </w:rPr>
        <w:t xml:space="preserve"> organismos,</w:t>
      </w:r>
      <w:r w:rsidRPr="00131A09">
        <w:rPr>
          <w:rFonts w:ascii="Arial" w:hAnsi="Arial" w:cs="Arial"/>
          <w:sz w:val="18"/>
          <w:szCs w:val="18"/>
        </w:rPr>
        <w:t xml:space="preserve"> </w:t>
      </w:r>
      <w:r w:rsidR="004554D2" w:rsidRPr="00131A09">
        <w:rPr>
          <w:rFonts w:ascii="Arial" w:hAnsi="Arial" w:cs="Arial"/>
          <w:sz w:val="18"/>
          <w:szCs w:val="18"/>
        </w:rPr>
        <w:t>agencias</w:t>
      </w:r>
      <w:r w:rsidR="00B45B52" w:rsidRPr="00131A09">
        <w:rPr>
          <w:rFonts w:ascii="Arial" w:hAnsi="Arial" w:cs="Arial"/>
          <w:sz w:val="18"/>
          <w:szCs w:val="18"/>
        </w:rPr>
        <w:t xml:space="preserve"> y vehículos de inversión que hagan parte </w:t>
      </w:r>
      <w:r w:rsidR="00740529" w:rsidRPr="00131A09">
        <w:rPr>
          <w:rFonts w:ascii="Arial" w:hAnsi="Arial" w:cs="Arial"/>
          <w:sz w:val="18"/>
          <w:szCs w:val="18"/>
        </w:rPr>
        <w:t xml:space="preserve">de las entidades </w:t>
      </w:r>
      <w:r w:rsidR="006544BB" w:rsidRPr="00131A09">
        <w:rPr>
          <w:rFonts w:ascii="Arial" w:hAnsi="Arial" w:cs="Arial"/>
          <w:sz w:val="18"/>
          <w:szCs w:val="18"/>
        </w:rPr>
        <w:t xml:space="preserve">allí referidas </w:t>
      </w:r>
      <w:r w:rsidR="00B45B52" w:rsidRPr="00131A09">
        <w:rPr>
          <w:rFonts w:ascii="Arial" w:hAnsi="Arial" w:cs="Arial"/>
          <w:sz w:val="18"/>
          <w:szCs w:val="18"/>
        </w:rPr>
        <w:t xml:space="preserve">o </w:t>
      </w:r>
      <w:r w:rsidR="00740529" w:rsidRPr="00131A09">
        <w:rPr>
          <w:rFonts w:ascii="Arial" w:hAnsi="Arial" w:cs="Arial"/>
          <w:sz w:val="18"/>
          <w:szCs w:val="18"/>
        </w:rPr>
        <w:t xml:space="preserve">que </w:t>
      </w:r>
      <w:r w:rsidR="00B45B52" w:rsidRPr="00131A09">
        <w:rPr>
          <w:rFonts w:ascii="Arial" w:hAnsi="Arial" w:cs="Arial"/>
          <w:sz w:val="18"/>
          <w:szCs w:val="18"/>
        </w:rPr>
        <w:t xml:space="preserve">sean administrados por </w:t>
      </w:r>
      <w:r w:rsidR="00DA435F" w:rsidRPr="00131A09">
        <w:rPr>
          <w:rFonts w:ascii="Arial" w:hAnsi="Arial" w:cs="Arial"/>
          <w:sz w:val="18"/>
          <w:szCs w:val="18"/>
        </w:rPr>
        <w:t>é</w:t>
      </w:r>
      <w:r w:rsidR="006544BB" w:rsidRPr="00131A09">
        <w:rPr>
          <w:rFonts w:ascii="Arial" w:hAnsi="Arial" w:cs="Arial"/>
          <w:sz w:val="18"/>
          <w:szCs w:val="18"/>
        </w:rPr>
        <w:t>sta</w:t>
      </w:r>
      <w:r w:rsidR="00B45B52" w:rsidRPr="00131A09">
        <w:rPr>
          <w:rFonts w:ascii="Arial" w:hAnsi="Arial" w:cs="Arial"/>
          <w:sz w:val="18"/>
          <w:szCs w:val="18"/>
        </w:rPr>
        <w:t>s,</w:t>
      </w:r>
      <w:r w:rsidR="00FE7213" w:rsidRPr="00131A09">
        <w:rPr>
          <w:rFonts w:ascii="Arial" w:hAnsi="Arial" w:cs="Arial"/>
          <w:sz w:val="18"/>
          <w:szCs w:val="18"/>
        </w:rPr>
        <w:t xml:space="preserve"> a fin de que lo</w:t>
      </w:r>
      <w:r w:rsidR="00B45B52" w:rsidRPr="00131A09">
        <w:rPr>
          <w:rFonts w:ascii="Arial" w:hAnsi="Arial" w:cs="Arial"/>
          <w:sz w:val="18"/>
          <w:szCs w:val="18"/>
        </w:rPr>
        <w:t xml:space="preserve">s activos, exposiciones y contingencias sujetos a riesgo de crédito con ellos puedan ponderar al 0%. </w:t>
      </w:r>
    </w:p>
    <w:p w14:paraId="4A512320" w14:textId="77777777" w:rsidR="00182CEB" w:rsidRPr="00131A09" w:rsidRDefault="00182CEB" w:rsidP="001A0E4B">
      <w:pPr>
        <w:jc w:val="both"/>
        <w:rPr>
          <w:rFonts w:ascii="Arial" w:hAnsi="Arial" w:cs="Arial"/>
          <w:sz w:val="18"/>
          <w:szCs w:val="18"/>
        </w:rPr>
      </w:pPr>
    </w:p>
    <w:p w14:paraId="25BD581F" w14:textId="77777777" w:rsidR="004554D2" w:rsidRPr="00131A09" w:rsidRDefault="00182CEB" w:rsidP="001A0E4B">
      <w:pPr>
        <w:jc w:val="both"/>
        <w:rPr>
          <w:rFonts w:ascii="Arial" w:hAnsi="Arial" w:cs="Arial"/>
          <w:sz w:val="18"/>
          <w:szCs w:val="18"/>
        </w:rPr>
      </w:pPr>
      <w:r w:rsidRPr="00131A09">
        <w:rPr>
          <w:rFonts w:ascii="Arial" w:hAnsi="Arial" w:cs="Arial"/>
          <w:sz w:val="18"/>
          <w:szCs w:val="18"/>
        </w:rPr>
        <w:t>E</w:t>
      </w:r>
      <w:r w:rsidR="00FE7213" w:rsidRPr="00131A09">
        <w:rPr>
          <w:rFonts w:ascii="Arial" w:hAnsi="Arial" w:cs="Arial"/>
          <w:sz w:val="18"/>
          <w:szCs w:val="18"/>
        </w:rPr>
        <w:t>n todo caso, dichos</w:t>
      </w:r>
      <w:r w:rsidRPr="00131A09">
        <w:rPr>
          <w:rFonts w:ascii="Arial" w:hAnsi="Arial" w:cs="Arial"/>
          <w:sz w:val="18"/>
          <w:szCs w:val="18"/>
        </w:rPr>
        <w:t xml:space="preserve"> </w:t>
      </w:r>
      <w:r w:rsidR="00B45B52" w:rsidRPr="00131A09">
        <w:rPr>
          <w:rFonts w:ascii="Arial" w:hAnsi="Arial" w:cs="Arial"/>
          <w:sz w:val="18"/>
          <w:szCs w:val="18"/>
        </w:rPr>
        <w:t>organismos, agencias y vehículos de inversi</w:t>
      </w:r>
      <w:r w:rsidR="00D42423" w:rsidRPr="00131A09">
        <w:rPr>
          <w:rFonts w:ascii="Arial" w:hAnsi="Arial" w:cs="Arial"/>
          <w:sz w:val="18"/>
          <w:szCs w:val="18"/>
        </w:rPr>
        <w:t>ón</w:t>
      </w:r>
      <w:r w:rsidR="003F7520" w:rsidRPr="00131A09">
        <w:rPr>
          <w:rFonts w:ascii="Arial" w:hAnsi="Arial" w:cs="Arial"/>
          <w:sz w:val="18"/>
          <w:szCs w:val="18"/>
        </w:rPr>
        <w:t xml:space="preserve"> </w:t>
      </w:r>
      <w:r w:rsidR="00D42423" w:rsidRPr="00131A09">
        <w:rPr>
          <w:rFonts w:ascii="Arial" w:hAnsi="Arial" w:cs="Arial"/>
          <w:sz w:val="18"/>
          <w:szCs w:val="18"/>
        </w:rPr>
        <w:t>de</w:t>
      </w:r>
      <w:r w:rsidR="003F7520" w:rsidRPr="00131A09">
        <w:rPr>
          <w:rFonts w:ascii="Arial" w:hAnsi="Arial" w:cs="Arial"/>
          <w:sz w:val="18"/>
          <w:szCs w:val="18"/>
        </w:rPr>
        <w:t>ben</w:t>
      </w:r>
      <w:r w:rsidR="00B45B52" w:rsidRPr="00131A09">
        <w:rPr>
          <w:rFonts w:ascii="Arial" w:hAnsi="Arial" w:cs="Arial"/>
          <w:sz w:val="18"/>
          <w:szCs w:val="18"/>
        </w:rPr>
        <w:t xml:space="preserve"> cumplir con los </w:t>
      </w:r>
      <w:r w:rsidR="00D42423" w:rsidRPr="00131A09">
        <w:rPr>
          <w:rFonts w:ascii="Arial" w:hAnsi="Arial" w:cs="Arial"/>
          <w:sz w:val="18"/>
          <w:szCs w:val="18"/>
        </w:rPr>
        <w:t>requisitos</w:t>
      </w:r>
      <w:r w:rsidR="00B45B52" w:rsidRPr="00131A09">
        <w:rPr>
          <w:rFonts w:ascii="Arial" w:hAnsi="Arial" w:cs="Arial"/>
          <w:sz w:val="18"/>
          <w:szCs w:val="18"/>
        </w:rPr>
        <w:t xml:space="preserve"> de alta calificación, respaldo patrimonial y liquidez</w:t>
      </w:r>
      <w:r w:rsidR="003F7520" w:rsidRPr="00131A09">
        <w:rPr>
          <w:rFonts w:ascii="Arial" w:hAnsi="Arial" w:cs="Arial"/>
          <w:sz w:val="18"/>
          <w:szCs w:val="18"/>
        </w:rPr>
        <w:t xml:space="preserve"> conforme a lo </w:t>
      </w:r>
      <w:r w:rsidR="00D42423" w:rsidRPr="00131A09">
        <w:rPr>
          <w:rFonts w:ascii="Arial" w:hAnsi="Arial" w:cs="Arial"/>
          <w:sz w:val="18"/>
          <w:szCs w:val="18"/>
        </w:rPr>
        <w:t>siguiente:</w:t>
      </w:r>
    </w:p>
    <w:p w14:paraId="6BEA5A67" w14:textId="77777777" w:rsidR="004554D2" w:rsidRPr="00131A09" w:rsidRDefault="004554D2" w:rsidP="004554D2">
      <w:pPr>
        <w:jc w:val="both"/>
        <w:rPr>
          <w:rFonts w:ascii="Arial" w:hAnsi="Arial" w:cs="Arial"/>
          <w:sz w:val="18"/>
          <w:szCs w:val="18"/>
        </w:rPr>
      </w:pPr>
    </w:p>
    <w:p w14:paraId="189B03A7" w14:textId="77777777" w:rsidR="004554D2" w:rsidRPr="00131A09" w:rsidRDefault="004554D2" w:rsidP="00513595">
      <w:pPr>
        <w:pStyle w:val="Prrafodelista"/>
        <w:numPr>
          <w:ilvl w:val="0"/>
          <w:numId w:val="6"/>
        </w:numPr>
        <w:ind w:left="360"/>
        <w:jc w:val="both"/>
        <w:rPr>
          <w:rFonts w:ascii="Arial" w:hAnsi="Arial" w:cs="Arial"/>
          <w:sz w:val="18"/>
          <w:szCs w:val="18"/>
        </w:rPr>
      </w:pPr>
      <w:r w:rsidRPr="00131A09">
        <w:rPr>
          <w:rFonts w:ascii="Arial" w:hAnsi="Arial" w:cs="Arial"/>
          <w:sz w:val="18"/>
          <w:szCs w:val="18"/>
        </w:rPr>
        <w:t xml:space="preserve">Tener una calificación externa AAA </w:t>
      </w:r>
      <w:r w:rsidR="00494538" w:rsidRPr="00131A09">
        <w:rPr>
          <w:rFonts w:ascii="Arial" w:hAnsi="Arial" w:cs="Arial"/>
          <w:sz w:val="18"/>
          <w:szCs w:val="18"/>
        </w:rPr>
        <w:t xml:space="preserve">en escala internacional </w:t>
      </w:r>
      <w:r w:rsidRPr="00131A09">
        <w:rPr>
          <w:rFonts w:ascii="Arial" w:hAnsi="Arial" w:cs="Arial"/>
          <w:sz w:val="18"/>
          <w:szCs w:val="18"/>
        </w:rPr>
        <w:t xml:space="preserve">al momento de la solicitud. </w:t>
      </w:r>
      <w:r w:rsidR="00BD1269" w:rsidRPr="00131A09">
        <w:rPr>
          <w:rFonts w:ascii="Arial" w:hAnsi="Arial" w:cs="Arial"/>
          <w:sz w:val="18"/>
          <w:szCs w:val="18"/>
        </w:rPr>
        <w:t>En todo caso, los organismos, agencias y vehículos de inversión no objetados por la SFC no</w:t>
      </w:r>
      <w:r w:rsidRPr="00131A09">
        <w:rPr>
          <w:rFonts w:ascii="Arial" w:hAnsi="Arial" w:cs="Arial"/>
          <w:sz w:val="18"/>
          <w:szCs w:val="18"/>
        </w:rPr>
        <w:t xml:space="preserve"> podrá</w:t>
      </w:r>
      <w:r w:rsidR="00450E98" w:rsidRPr="00131A09">
        <w:rPr>
          <w:rFonts w:ascii="Arial" w:hAnsi="Arial" w:cs="Arial"/>
          <w:sz w:val="18"/>
          <w:szCs w:val="18"/>
        </w:rPr>
        <w:t>n</w:t>
      </w:r>
      <w:r w:rsidRPr="00131A09">
        <w:rPr>
          <w:rFonts w:ascii="Arial" w:hAnsi="Arial" w:cs="Arial"/>
          <w:sz w:val="18"/>
          <w:szCs w:val="18"/>
        </w:rPr>
        <w:t xml:space="preserve"> tener una calificación </w:t>
      </w:r>
      <w:r w:rsidR="000635E2" w:rsidRPr="00131A09">
        <w:rPr>
          <w:rFonts w:ascii="Arial" w:hAnsi="Arial" w:cs="Arial"/>
          <w:sz w:val="18"/>
          <w:szCs w:val="18"/>
        </w:rPr>
        <w:t xml:space="preserve">posterior </w:t>
      </w:r>
      <w:r w:rsidRPr="00131A09">
        <w:rPr>
          <w:rFonts w:ascii="Arial" w:hAnsi="Arial" w:cs="Arial"/>
          <w:sz w:val="18"/>
          <w:szCs w:val="18"/>
        </w:rPr>
        <w:t>por debajo de AA-</w:t>
      </w:r>
      <w:r w:rsidR="00BD1269" w:rsidRPr="00131A09">
        <w:rPr>
          <w:rFonts w:ascii="Arial" w:hAnsi="Arial" w:cs="Arial"/>
          <w:sz w:val="18"/>
          <w:szCs w:val="18"/>
        </w:rPr>
        <w:t xml:space="preserve"> para que </w:t>
      </w:r>
      <w:r w:rsidR="00450E98" w:rsidRPr="00131A09">
        <w:rPr>
          <w:rFonts w:ascii="Arial" w:hAnsi="Arial" w:cs="Arial"/>
          <w:sz w:val="18"/>
          <w:szCs w:val="18"/>
        </w:rPr>
        <w:t xml:space="preserve">puedan </w:t>
      </w:r>
      <w:r w:rsidR="00BD1269" w:rsidRPr="00131A09">
        <w:rPr>
          <w:rFonts w:ascii="Arial" w:hAnsi="Arial" w:cs="Arial"/>
          <w:sz w:val="18"/>
          <w:szCs w:val="18"/>
        </w:rPr>
        <w:t>ponder</w:t>
      </w:r>
      <w:r w:rsidR="00450E98" w:rsidRPr="00131A09">
        <w:rPr>
          <w:rFonts w:ascii="Arial" w:hAnsi="Arial" w:cs="Arial"/>
          <w:sz w:val="18"/>
          <w:szCs w:val="18"/>
        </w:rPr>
        <w:t xml:space="preserve">ar </w:t>
      </w:r>
      <w:r w:rsidR="00BD1269" w:rsidRPr="00131A09">
        <w:rPr>
          <w:rFonts w:ascii="Arial" w:hAnsi="Arial" w:cs="Arial"/>
          <w:sz w:val="18"/>
          <w:szCs w:val="18"/>
        </w:rPr>
        <w:t>al 0%</w:t>
      </w:r>
      <w:r w:rsidRPr="00131A09">
        <w:rPr>
          <w:rFonts w:ascii="Arial" w:hAnsi="Arial" w:cs="Arial"/>
          <w:sz w:val="18"/>
          <w:szCs w:val="18"/>
        </w:rPr>
        <w:t>. En el caso en que el deterioro de la calificación sea superior a esta última, dichas entidades estarán sujetas al tratamiento descrito en el numeral 5</w:t>
      </w:r>
      <w:r w:rsidR="00F33295" w:rsidRPr="00131A09">
        <w:rPr>
          <w:rFonts w:ascii="Arial" w:hAnsi="Arial" w:cs="Arial"/>
          <w:sz w:val="18"/>
          <w:szCs w:val="18"/>
        </w:rPr>
        <w:t>)</w:t>
      </w:r>
      <w:r w:rsidRPr="00131A09">
        <w:rPr>
          <w:rFonts w:ascii="Arial" w:hAnsi="Arial" w:cs="Arial"/>
          <w:sz w:val="18"/>
          <w:szCs w:val="18"/>
        </w:rPr>
        <w:t xml:space="preserve"> del artículo 2.1.1.3.2. del Decreto 2555 de 2010.</w:t>
      </w:r>
    </w:p>
    <w:p w14:paraId="0DE7D63E" w14:textId="77777777" w:rsidR="00AB799F" w:rsidRPr="00131A09" w:rsidRDefault="00AB799F" w:rsidP="00AB799F">
      <w:pPr>
        <w:pStyle w:val="Prrafodelista"/>
        <w:ind w:left="360"/>
        <w:jc w:val="both"/>
        <w:rPr>
          <w:rFonts w:ascii="Arial" w:hAnsi="Arial" w:cs="Arial"/>
          <w:sz w:val="18"/>
          <w:szCs w:val="18"/>
        </w:rPr>
      </w:pPr>
    </w:p>
    <w:p w14:paraId="1212C152" w14:textId="77777777" w:rsidR="00CF6537" w:rsidRPr="00131A09" w:rsidRDefault="00AB799F" w:rsidP="00AB799F">
      <w:pPr>
        <w:pStyle w:val="Prrafodelista"/>
        <w:numPr>
          <w:ilvl w:val="0"/>
          <w:numId w:val="6"/>
        </w:numPr>
        <w:ind w:left="360"/>
        <w:jc w:val="both"/>
        <w:rPr>
          <w:rFonts w:ascii="Arial" w:hAnsi="Arial" w:cs="Arial"/>
          <w:sz w:val="18"/>
          <w:szCs w:val="18"/>
        </w:rPr>
      </w:pPr>
      <w:r w:rsidRPr="00131A09">
        <w:rPr>
          <w:rFonts w:ascii="Arial" w:hAnsi="Arial" w:cs="Arial"/>
          <w:sz w:val="18"/>
          <w:szCs w:val="18"/>
        </w:rPr>
        <w:t>Contar con niveles suficientes de capital y liquidez. En relación con el capital se deben tener en cuenta los niveles de capital de la entidad frente a los riesgos a los cuales está expuesta y la relación de apalancamiento, así como el volumen de capital desembolsado por los a</w:t>
      </w:r>
      <w:r w:rsidR="00CF6537" w:rsidRPr="00131A09">
        <w:rPr>
          <w:rFonts w:ascii="Arial" w:hAnsi="Arial" w:cs="Arial"/>
          <w:sz w:val="18"/>
          <w:szCs w:val="18"/>
        </w:rPr>
        <w:t xml:space="preserve">ccionistas y la frecuencia y </w:t>
      </w:r>
      <w:r w:rsidRPr="00131A09">
        <w:rPr>
          <w:rFonts w:ascii="Arial" w:hAnsi="Arial" w:cs="Arial"/>
          <w:sz w:val="18"/>
          <w:szCs w:val="18"/>
        </w:rPr>
        <w:t xml:space="preserve">cumplimiento de los compromisos de aportes por parte de los accionistas soberanos. En cuanto a la liquidez, se debe analizar su capacidad para manejar los requerimientos de liquidez en condiciones económicas y de mercado adversas. </w:t>
      </w:r>
    </w:p>
    <w:p w14:paraId="748F347D" w14:textId="77777777" w:rsidR="00CF6537" w:rsidRPr="00131A09" w:rsidRDefault="00CF6537" w:rsidP="00CF6537">
      <w:pPr>
        <w:pStyle w:val="Prrafodelista"/>
        <w:ind w:left="360"/>
        <w:jc w:val="both"/>
        <w:rPr>
          <w:rFonts w:ascii="Arial" w:hAnsi="Arial" w:cs="Arial"/>
          <w:sz w:val="18"/>
          <w:szCs w:val="18"/>
        </w:rPr>
      </w:pPr>
    </w:p>
    <w:p w14:paraId="34DD871D" w14:textId="77777777" w:rsidR="00AB799F" w:rsidRPr="00131A09" w:rsidRDefault="00AB799F" w:rsidP="00CF6537">
      <w:pPr>
        <w:pStyle w:val="Prrafodelista"/>
        <w:ind w:left="360"/>
        <w:jc w:val="both"/>
        <w:rPr>
          <w:rFonts w:ascii="Arial" w:hAnsi="Arial" w:cs="Arial"/>
          <w:sz w:val="18"/>
          <w:szCs w:val="18"/>
        </w:rPr>
      </w:pPr>
      <w:r w:rsidRPr="00131A09">
        <w:rPr>
          <w:rFonts w:ascii="Arial" w:hAnsi="Arial" w:cs="Arial"/>
          <w:sz w:val="18"/>
          <w:szCs w:val="18"/>
        </w:rPr>
        <w:t xml:space="preserve">Para lo anterior se debe evaluar: i) que las fuentes de fondeo sean lo suficientemente estables en relación con la composición y las características de riesgo de liquidez de sus activos; y </w:t>
      </w:r>
      <w:proofErr w:type="spellStart"/>
      <w:r w:rsidRPr="00131A09">
        <w:rPr>
          <w:rFonts w:ascii="Arial" w:hAnsi="Arial" w:cs="Arial"/>
          <w:sz w:val="18"/>
          <w:szCs w:val="18"/>
        </w:rPr>
        <w:t>ii</w:t>
      </w:r>
      <w:proofErr w:type="spellEnd"/>
      <w:r w:rsidRPr="00131A09">
        <w:rPr>
          <w:rFonts w:ascii="Arial" w:hAnsi="Arial" w:cs="Arial"/>
          <w:sz w:val="18"/>
          <w:szCs w:val="18"/>
        </w:rPr>
        <w:t>) que la entidad cuente con los activos líquidos suficientes para cumplir con sus requerimientos de liquidez contract</w:t>
      </w:r>
      <w:r w:rsidR="00995E42" w:rsidRPr="00131A09">
        <w:rPr>
          <w:rFonts w:ascii="Arial" w:hAnsi="Arial" w:cs="Arial"/>
          <w:sz w:val="18"/>
          <w:szCs w:val="18"/>
        </w:rPr>
        <w:t>uales y no contractuales</w:t>
      </w:r>
      <w:r w:rsidRPr="00131A09">
        <w:rPr>
          <w:rFonts w:ascii="Arial" w:hAnsi="Arial" w:cs="Arial"/>
          <w:sz w:val="18"/>
          <w:szCs w:val="18"/>
        </w:rPr>
        <w:t>.</w:t>
      </w:r>
    </w:p>
    <w:p w14:paraId="319525FF" w14:textId="77777777" w:rsidR="00D05741" w:rsidRPr="00131A09" w:rsidRDefault="00D05741" w:rsidP="00507D2E">
      <w:pPr>
        <w:rPr>
          <w:rFonts w:ascii="Arial" w:hAnsi="Arial" w:cs="Arial"/>
          <w:sz w:val="18"/>
          <w:szCs w:val="18"/>
        </w:rPr>
      </w:pPr>
    </w:p>
    <w:p w14:paraId="41DF85E6" w14:textId="77777777" w:rsidR="00E93366" w:rsidRPr="00131A09" w:rsidRDefault="00F61E02" w:rsidP="00E343EE">
      <w:pPr>
        <w:pStyle w:val="Prrafodelista"/>
        <w:numPr>
          <w:ilvl w:val="2"/>
          <w:numId w:val="38"/>
        </w:numPr>
        <w:jc w:val="both"/>
        <w:outlineLvl w:val="2"/>
        <w:rPr>
          <w:rFonts w:ascii="Arial" w:hAnsi="Arial" w:cs="Arial"/>
          <w:sz w:val="18"/>
          <w:szCs w:val="18"/>
        </w:rPr>
      </w:pPr>
      <w:r w:rsidRPr="00131A09">
        <w:rPr>
          <w:rFonts w:ascii="Arial" w:hAnsi="Arial" w:cs="Arial"/>
          <w:sz w:val="18"/>
          <w:szCs w:val="18"/>
        </w:rPr>
        <w:t>Clas</w:t>
      </w:r>
      <w:r w:rsidR="00377227" w:rsidRPr="00131A09">
        <w:rPr>
          <w:rFonts w:ascii="Arial" w:hAnsi="Arial" w:cs="Arial"/>
          <w:sz w:val="18"/>
          <w:szCs w:val="18"/>
        </w:rPr>
        <w:t xml:space="preserve">ificación </w:t>
      </w:r>
      <w:r w:rsidR="00D42423" w:rsidRPr="00131A09">
        <w:rPr>
          <w:rFonts w:ascii="Arial" w:hAnsi="Arial" w:cs="Arial"/>
          <w:sz w:val="18"/>
          <w:szCs w:val="18"/>
        </w:rPr>
        <w:t>y ponderación de la</w:t>
      </w:r>
      <w:r w:rsidR="009D66A4" w:rsidRPr="00131A09">
        <w:rPr>
          <w:rFonts w:ascii="Arial" w:hAnsi="Arial" w:cs="Arial"/>
          <w:sz w:val="18"/>
          <w:szCs w:val="18"/>
        </w:rPr>
        <w:t xml:space="preserve"> exposición de la</w:t>
      </w:r>
      <w:r w:rsidR="00D42423" w:rsidRPr="00131A09">
        <w:rPr>
          <w:rFonts w:ascii="Arial" w:hAnsi="Arial" w:cs="Arial"/>
          <w:sz w:val="18"/>
          <w:szCs w:val="18"/>
        </w:rPr>
        <w:t>s contingencias</w:t>
      </w:r>
    </w:p>
    <w:p w14:paraId="37208F5D" w14:textId="77777777" w:rsidR="00F61E02" w:rsidRPr="00131A09" w:rsidRDefault="00F61E02" w:rsidP="00F61E02">
      <w:pPr>
        <w:jc w:val="both"/>
        <w:rPr>
          <w:rFonts w:ascii="Arial" w:hAnsi="Arial" w:cs="Arial"/>
          <w:sz w:val="18"/>
          <w:szCs w:val="18"/>
        </w:rPr>
      </w:pPr>
    </w:p>
    <w:p w14:paraId="291E21ED" w14:textId="2733CDD5" w:rsidR="00F12A7D" w:rsidRDefault="00504CD2" w:rsidP="00D1078B">
      <w:pPr>
        <w:pStyle w:val="Prrafodelista"/>
        <w:ind w:left="0"/>
        <w:jc w:val="both"/>
        <w:rPr>
          <w:rFonts w:ascii="Arial" w:hAnsi="Arial" w:cs="Arial"/>
          <w:sz w:val="18"/>
          <w:szCs w:val="18"/>
          <w:lang w:val="es-CO"/>
        </w:rPr>
      </w:pPr>
      <w:r w:rsidRPr="00131A09">
        <w:rPr>
          <w:rFonts w:ascii="Arial" w:hAnsi="Arial" w:cs="Arial"/>
          <w:sz w:val="18"/>
          <w:szCs w:val="18"/>
          <w:lang w:val="es-CO"/>
        </w:rPr>
        <w:t>De conformidad con lo establecido en el artículo 2.1.1.3.5</w:t>
      </w:r>
      <w:r w:rsidR="00995E42" w:rsidRPr="00131A09">
        <w:rPr>
          <w:rFonts w:ascii="Arial" w:hAnsi="Arial" w:cs="Arial"/>
          <w:sz w:val="18"/>
          <w:szCs w:val="18"/>
          <w:lang w:val="es-CO"/>
        </w:rPr>
        <w:t xml:space="preserve"> del Decreto 2555 de 2010</w:t>
      </w:r>
      <w:r w:rsidRPr="00131A09">
        <w:rPr>
          <w:rFonts w:ascii="Arial" w:hAnsi="Arial" w:cs="Arial"/>
          <w:sz w:val="18"/>
          <w:szCs w:val="18"/>
          <w:lang w:val="es-CO"/>
        </w:rPr>
        <w:t xml:space="preserve"> </w:t>
      </w:r>
      <w:r w:rsidR="00A33DB2" w:rsidRPr="00131A09">
        <w:rPr>
          <w:rFonts w:ascii="Arial" w:hAnsi="Arial" w:cs="Arial"/>
          <w:sz w:val="18"/>
          <w:szCs w:val="18"/>
          <w:lang w:val="es-CO"/>
        </w:rPr>
        <w:t xml:space="preserve">la </w:t>
      </w:r>
      <w:r w:rsidR="00D1078B" w:rsidRPr="00131A09">
        <w:rPr>
          <w:rFonts w:ascii="Arial" w:hAnsi="Arial" w:cs="Arial"/>
          <w:sz w:val="18"/>
          <w:szCs w:val="18"/>
          <w:lang w:val="es-CO"/>
        </w:rPr>
        <w:t>exposición de las contingencias se</w:t>
      </w:r>
      <w:r w:rsidR="003B278E" w:rsidRPr="00131A09">
        <w:rPr>
          <w:rFonts w:ascii="Arial" w:hAnsi="Arial" w:cs="Arial"/>
          <w:sz w:val="18"/>
          <w:szCs w:val="18"/>
          <w:lang w:val="es-CO"/>
        </w:rPr>
        <w:t xml:space="preserve"> debe</w:t>
      </w:r>
      <w:r w:rsidR="00D1078B" w:rsidRPr="00131A09">
        <w:rPr>
          <w:rFonts w:ascii="Arial" w:hAnsi="Arial" w:cs="Arial"/>
          <w:sz w:val="18"/>
          <w:szCs w:val="18"/>
          <w:lang w:val="es-CO"/>
        </w:rPr>
        <w:t xml:space="preserve"> determinar multiplica</w:t>
      </w:r>
      <w:r w:rsidRPr="00131A09">
        <w:rPr>
          <w:rFonts w:ascii="Arial" w:hAnsi="Arial" w:cs="Arial"/>
          <w:sz w:val="18"/>
          <w:szCs w:val="18"/>
          <w:lang w:val="es-CO"/>
        </w:rPr>
        <w:t>ndo</w:t>
      </w:r>
      <w:r w:rsidR="00D1078B" w:rsidRPr="00131A09">
        <w:rPr>
          <w:rFonts w:ascii="Arial" w:hAnsi="Arial" w:cs="Arial"/>
          <w:sz w:val="18"/>
          <w:szCs w:val="18"/>
          <w:lang w:val="es-CO"/>
        </w:rPr>
        <w:t xml:space="preserve"> el </w:t>
      </w:r>
      <w:r w:rsidR="00BD6AB4" w:rsidRPr="00131A09">
        <w:rPr>
          <w:rFonts w:ascii="Arial" w:hAnsi="Arial" w:cs="Arial"/>
          <w:sz w:val="18"/>
          <w:szCs w:val="18"/>
          <w:lang w:val="es-CO"/>
        </w:rPr>
        <w:t xml:space="preserve">monto </w:t>
      </w:r>
      <w:r w:rsidR="00D1078B" w:rsidRPr="00131A09">
        <w:rPr>
          <w:rFonts w:ascii="Arial" w:hAnsi="Arial" w:cs="Arial"/>
          <w:sz w:val="18"/>
          <w:szCs w:val="18"/>
          <w:lang w:val="es-CO"/>
        </w:rPr>
        <w:t>nominal de las contingencias neto de provisiones</w:t>
      </w:r>
      <w:r w:rsidRPr="00131A09">
        <w:rPr>
          <w:rFonts w:ascii="Arial" w:hAnsi="Arial" w:cs="Arial"/>
          <w:sz w:val="18"/>
          <w:szCs w:val="18"/>
          <w:lang w:val="es-CO"/>
        </w:rPr>
        <w:t>,</w:t>
      </w:r>
      <w:r w:rsidR="00D1078B" w:rsidRPr="00131A09">
        <w:rPr>
          <w:rFonts w:ascii="Arial" w:hAnsi="Arial" w:cs="Arial"/>
          <w:sz w:val="18"/>
          <w:szCs w:val="18"/>
          <w:lang w:val="es-CO"/>
        </w:rPr>
        <w:t xml:space="preserve"> por el factor de conversión crediticio correspondiente a </w:t>
      </w:r>
      <w:r w:rsidR="003F7520" w:rsidRPr="00131A09">
        <w:rPr>
          <w:rFonts w:ascii="Arial" w:hAnsi="Arial" w:cs="Arial"/>
          <w:sz w:val="18"/>
          <w:szCs w:val="18"/>
          <w:lang w:val="es-CO"/>
        </w:rPr>
        <w:t xml:space="preserve">cada </w:t>
      </w:r>
      <w:r w:rsidR="00D1078B" w:rsidRPr="00131A09">
        <w:rPr>
          <w:rFonts w:ascii="Arial" w:hAnsi="Arial" w:cs="Arial"/>
          <w:sz w:val="18"/>
          <w:szCs w:val="18"/>
          <w:lang w:val="es-CO"/>
        </w:rPr>
        <w:t>operación</w:t>
      </w:r>
      <w:r w:rsidR="00D42423" w:rsidRPr="00131A09">
        <w:rPr>
          <w:rFonts w:ascii="Arial" w:hAnsi="Arial" w:cs="Arial"/>
          <w:sz w:val="18"/>
          <w:szCs w:val="18"/>
          <w:lang w:val="es-CO"/>
        </w:rPr>
        <w:t>, conforme a la siguiente fórmula</w:t>
      </w:r>
      <w:r w:rsidR="00182CEB" w:rsidRPr="00131A09">
        <w:rPr>
          <w:rFonts w:ascii="Arial" w:hAnsi="Arial" w:cs="Arial"/>
          <w:sz w:val="18"/>
          <w:szCs w:val="18"/>
          <w:lang w:val="es-CO"/>
        </w:rPr>
        <w:t>:</w:t>
      </w:r>
    </w:p>
    <w:p w14:paraId="4E7BC788" w14:textId="77777777" w:rsidR="00F12A7D" w:rsidRPr="00131A09" w:rsidRDefault="00F12A7D" w:rsidP="00D1078B">
      <w:pPr>
        <w:pStyle w:val="Prrafodelista"/>
        <w:ind w:left="0"/>
        <w:jc w:val="both"/>
        <w:rPr>
          <w:rFonts w:ascii="Arial" w:hAnsi="Arial" w:cs="Arial"/>
          <w:sz w:val="18"/>
          <w:szCs w:val="18"/>
          <w:lang w:val="es-CO"/>
        </w:rPr>
      </w:pPr>
    </w:p>
    <w:p w14:paraId="6ED68EF2" w14:textId="77777777" w:rsidR="004932A8" w:rsidRPr="00F153F6" w:rsidRDefault="004932A8" w:rsidP="00D1078B">
      <w:pPr>
        <w:pStyle w:val="Prrafodelista"/>
        <w:ind w:left="0"/>
        <w:jc w:val="center"/>
        <w:rPr>
          <w:rFonts w:ascii="Arial" w:hAnsi="Arial" w:cs="Arial"/>
          <w:sz w:val="10"/>
          <w:szCs w:val="10"/>
          <w:lang w:val="es-CO"/>
        </w:rPr>
      </w:pPr>
    </w:p>
    <w:p w14:paraId="3836BC25" w14:textId="77777777" w:rsidR="00D1078B" w:rsidRPr="000A17D7" w:rsidRDefault="00354C6A" w:rsidP="00D1078B">
      <w:pPr>
        <w:pStyle w:val="Prrafodelista"/>
        <w:ind w:left="0"/>
        <w:jc w:val="center"/>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Exposición ponderada de las Contingencias</m:t>
              </m:r>
            </m:e>
            <m:sub>
              <m:r>
                <w:rPr>
                  <w:rFonts w:ascii="Cambria Math" w:hAnsi="Cambria Math" w:cs="Arial"/>
                  <w:sz w:val="18"/>
                  <w:szCs w:val="18"/>
                </w:rPr>
                <m:t>i</m:t>
              </m:r>
            </m:sub>
          </m:sSub>
          <m:r>
            <w:rPr>
              <w:rFonts w:ascii="Cambria Math" w:hAnsi="Cambria Math" w:cs="Arial"/>
              <w:sz w:val="18"/>
              <w:szCs w:val="18"/>
            </w:rPr>
            <m:t xml:space="preserve">= </m:t>
          </m:r>
        </m:oMath>
      </m:oMathPara>
    </w:p>
    <w:p w14:paraId="26DCB661" w14:textId="77777777" w:rsidR="00D1078B" w:rsidRPr="00F153F6" w:rsidRDefault="00D1078B" w:rsidP="00D1078B">
      <w:pPr>
        <w:pStyle w:val="Prrafodelista"/>
        <w:ind w:left="0"/>
        <w:jc w:val="center"/>
        <w:rPr>
          <w:rFonts w:ascii="Arial" w:hAnsi="Arial" w:cs="Arial"/>
          <w:sz w:val="10"/>
          <w:szCs w:val="10"/>
        </w:rPr>
      </w:pPr>
    </w:p>
    <w:p w14:paraId="3F6A06F8" w14:textId="142AAAA0" w:rsidR="00246FDE" w:rsidRPr="00F12A7D" w:rsidRDefault="00D1078B" w:rsidP="00F12A7D">
      <w:pPr>
        <w:pStyle w:val="Prrafodelista"/>
        <w:ind w:left="0"/>
        <w:jc w:val="center"/>
        <w:rPr>
          <w:rFonts w:ascii="Arial" w:hAnsi="Arial" w:cs="Arial"/>
          <w:sz w:val="18"/>
          <w:szCs w:val="18"/>
          <w:lang w:val="es-CO"/>
        </w:rPr>
      </w:pPr>
      <m:oMathPara>
        <m:oMath>
          <m:r>
            <w:rPr>
              <w:rFonts w:ascii="Cambria Math" w:hAnsi="Cambria Math" w:cs="Arial"/>
              <w:sz w:val="18"/>
              <w:szCs w:val="18"/>
            </w:rPr>
            <m:t xml:space="preserve"> </m:t>
          </m:r>
          <m:d>
            <m:dPr>
              <m:ctrlPr>
                <w:rPr>
                  <w:rFonts w:ascii="Cambria Math" w:hAnsi="Cambria Math" w:cs="Arial"/>
                  <w:i/>
                  <w:sz w:val="18"/>
                  <w:szCs w:val="18"/>
                </w:rPr>
              </m:ctrlPr>
            </m:dPr>
            <m:e>
              <m:sSub>
                <m:sSubPr>
                  <m:ctrlPr>
                    <w:rPr>
                      <w:rFonts w:ascii="Cambria Math" w:hAnsi="Cambria Math" w:cs="Arial"/>
                      <w:i/>
                      <w:sz w:val="18"/>
                      <w:szCs w:val="18"/>
                    </w:rPr>
                  </m:ctrlPr>
                </m:sSubPr>
                <m:e>
                  <m:eqArr>
                    <m:eqArrPr>
                      <m:ctrlPr>
                        <w:rPr>
                          <w:rFonts w:ascii="Cambria Math" w:hAnsi="Cambria Math" w:cs="Arial"/>
                          <w:i/>
                          <w:sz w:val="18"/>
                          <w:szCs w:val="18"/>
                        </w:rPr>
                      </m:ctrlPr>
                    </m:eqArrPr>
                    <m:e>
                      <m:r>
                        <w:rPr>
                          <w:rFonts w:ascii="Cambria Math" w:hAnsi="Cambria Math" w:cs="Arial"/>
                          <w:sz w:val="18"/>
                          <w:szCs w:val="18"/>
                        </w:rPr>
                        <m:t xml:space="preserve">  </m:t>
                      </m:r>
                    </m:e>
                    <m:e>
                      <m:r>
                        <w:rPr>
                          <w:rFonts w:ascii="Cambria Math" w:hAnsi="Cambria Math" w:cs="Arial"/>
                          <w:sz w:val="18"/>
                          <w:szCs w:val="18"/>
                        </w:rPr>
                        <m:t>Monto Nominal de las contingencias,</m:t>
                      </m:r>
                      <m:ctrlPr>
                        <w:rPr>
                          <w:rFonts w:ascii="Cambria Math" w:eastAsia="Cambria Math" w:hAnsi="Cambria Math" w:cs="Cambria Math"/>
                          <w:i/>
                          <w:sz w:val="18"/>
                          <w:szCs w:val="18"/>
                        </w:rPr>
                      </m:ctrlPr>
                    </m:e>
                    <m:e>
                      <m:r>
                        <w:rPr>
                          <w:rFonts w:ascii="Cambria Math" w:hAnsi="Cambria Math" w:cs="Arial"/>
                          <w:sz w:val="18"/>
                          <w:szCs w:val="18"/>
                        </w:rPr>
                        <m:t>neto de provisiones</m:t>
                      </m:r>
                    </m:e>
                  </m:eqArr>
                </m:e>
                <m:sub>
                  <m:r>
                    <w:rPr>
                      <w:rFonts w:ascii="Cambria Math" w:hAnsi="Cambria Math" w:cs="Arial"/>
                      <w:sz w:val="18"/>
                      <w:szCs w:val="18"/>
                    </w:rPr>
                    <m:t>i</m:t>
                  </m:r>
                </m:sub>
              </m:sSub>
            </m:e>
          </m:d>
          <m:r>
            <w:rPr>
              <w:rFonts w:ascii="Cambria Math" w:hAnsi="Cambria Math" w:cs="Arial"/>
              <w:sz w:val="18"/>
              <w:szCs w:val="18"/>
            </w:rPr>
            <m:t>*</m:t>
          </m:r>
          <m:d>
            <m:dPr>
              <m:ctrlPr>
                <w:rPr>
                  <w:rFonts w:ascii="Cambria Math" w:hAnsi="Cambria Math" w:cs="Arial"/>
                  <w:i/>
                  <w:sz w:val="18"/>
                  <w:szCs w:val="18"/>
                </w:rPr>
              </m:ctrlPr>
            </m:dPr>
            <m:e>
              <m:sSub>
                <m:sSubPr>
                  <m:ctrlPr>
                    <w:rPr>
                      <w:rFonts w:ascii="Cambria Math" w:hAnsi="Cambria Math" w:cs="Arial"/>
                      <w:i/>
                      <w:sz w:val="18"/>
                      <w:szCs w:val="18"/>
                    </w:rPr>
                  </m:ctrlPr>
                </m:sSubPr>
                <m:e>
                  <m:eqArr>
                    <m:eqArrPr>
                      <m:ctrlPr>
                        <w:rPr>
                          <w:rFonts w:ascii="Cambria Math" w:hAnsi="Cambria Math" w:cs="Arial"/>
                          <w:i/>
                          <w:sz w:val="18"/>
                          <w:szCs w:val="18"/>
                        </w:rPr>
                      </m:ctrlPr>
                    </m:eqArrPr>
                    <m:e>
                      <m:r>
                        <w:rPr>
                          <w:rFonts w:ascii="Cambria Math" w:hAnsi="Cambria Math" w:cs="Arial"/>
                          <w:sz w:val="18"/>
                          <w:szCs w:val="18"/>
                        </w:rPr>
                        <m:t xml:space="preserve">Factor de </m:t>
                      </m:r>
                    </m:e>
                    <m:e>
                      <m:r>
                        <w:rPr>
                          <w:rFonts w:ascii="Cambria Math" w:hAnsi="Cambria Math" w:cs="Arial"/>
                          <w:sz w:val="18"/>
                          <w:szCs w:val="18"/>
                        </w:rPr>
                        <m:t>conversión crediticio</m:t>
                      </m:r>
                    </m:e>
                  </m:eqArr>
                </m:e>
                <m:sub>
                  <m:r>
                    <w:rPr>
                      <w:rFonts w:ascii="Cambria Math" w:hAnsi="Cambria Math" w:cs="Arial"/>
                      <w:sz w:val="18"/>
                      <w:szCs w:val="18"/>
                    </w:rPr>
                    <m:t xml:space="preserve"> i</m:t>
                  </m:r>
                </m:sub>
              </m:sSub>
            </m:e>
          </m:d>
          <m:r>
            <w:rPr>
              <w:rFonts w:ascii="Cambria Math" w:hAnsi="Cambria Math" w:cs="Arial"/>
              <w:sz w:val="18"/>
              <w:szCs w:val="18"/>
            </w:rPr>
            <m:t>*</m:t>
          </m:r>
          <m:d>
            <m:dPr>
              <m:ctrlPr>
                <w:rPr>
                  <w:rFonts w:ascii="Cambria Math" w:hAnsi="Cambria Math" w:cs="Arial"/>
                  <w:i/>
                  <w:sz w:val="18"/>
                  <w:szCs w:val="18"/>
                </w:rPr>
              </m:ctrlPr>
            </m:dPr>
            <m:e>
              <m:sSub>
                <m:sSubPr>
                  <m:ctrlPr>
                    <w:rPr>
                      <w:rFonts w:ascii="Cambria Math" w:hAnsi="Cambria Math" w:cs="Arial"/>
                      <w:i/>
                      <w:sz w:val="18"/>
                      <w:szCs w:val="18"/>
                    </w:rPr>
                  </m:ctrlPr>
                </m:sSubPr>
                <m:e>
                  <m:eqArr>
                    <m:eqArrPr>
                      <m:ctrlPr>
                        <w:rPr>
                          <w:rFonts w:ascii="Cambria Math" w:hAnsi="Cambria Math" w:cs="Arial"/>
                          <w:i/>
                          <w:sz w:val="18"/>
                          <w:szCs w:val="18"/>
                        </w:rPr>
                      </m:ctrlPr>
                    </m:eqArrPr>
                    <m:e>
                      <m:r>
                        <w:rPr>
                          <w:rFonts w:ascii="Cambria Math" w:hAnsi="Cambria Math" w:cs="Arial"/>
                          <w:sz w:val="18"/>
                          <w:szCs w:val="18"/>
                        </w:rPr>
                        <m:t xml:space="preserve">Ponderación </m:t>
                      </m:r>
                    </m:e>
                    <m:e>
                      <m:r>
                        <w:rPr>
                          <w:rFonts w:ascii="Cambria Math" w:hAnsi="Cambria Math" w:cs="Arial"/>
                          <w:sz w:val="18"/>
                          <w:szCs w:val="18"/>
                        </w:rPr>
                        <m:t>por riesgo de créditicio de la contraparte</m:t>
                      </m:r>
                    </m:e>
                  </m:eqArr>
                </m:e>
                <m:sub>
                  <m:r>
                    <w:rPr>
                      <w:rFonts w:ascii="Cambria Math" w:hAnsi="Cambria Math" w:cs="Arial"/>
                      <w:sz w:val="18"/>
                      <w:szCs w:val="18"/>
                    </w:rPr>
                    <m:t>i</m:t>
                  </m:r>
                </m:sub>
              </m:sSub>
            </m:e>
          </m:d>
        </m:oMath>
      </m:oMathPara>
    </w:p>
    <w:p w14:paraId="6F7C5F26" w14:textId="77777777" w:rsidR="00DF605C" w:rsidRDefault="00DF605C">
      <w:pPr>
        <w:spacing w:after="200" w:line="276" w:lineRule="auto"/>
        <w:rPr>
          <w:rFonts w:ascii="Arial" w:hAnsi="Arial" w:cs="Arial"/>
          <w:sz w:val="18"/>
          <w:szCs w:val="18"/>
          <w:lang w:val="es-CO"/>
        </w:rPr>
        <w:sectPr w:rsidR="00DF605C" w:rsidSect="0077367E">
          <w:headerReference w:type="even" r:id="rId13"/>
          <w:headerReference w:type="default" r:id="rId14"/>
          <w:footerReference w:type="default" r:id="rId15"/>
          <w:pgSz w:w="12240" w:h="18720" w:code="41"/>
          <w:pgMar w:top="1477" w:right="1134" w:bottom="1701" w:left="1701" w:header="283" w:footer="907" w:gutter="0"/>
          <w:paperSrc w:first="3" w:other="3"/>
          <w:pgNumType w:start="129" w:chapStyle="1"/>
          <w:cols w:space="720"/>
          <w:noEndnote/>
          <w:docGrid w:linePitch="272"/>
        </w:sectPr>
      </w:pPr>
    </w:p>
    <w:p w14:paraId="693C6460" w14:textId="77777777" w:rsidR="00DF605C" w:rsidRDefault="00DF605C" w:rsidP="00DF605C">
      <w:pPr>
        <w:jc w:val="both"/>
        <w:rPr>
          <w:rFonts w:ascii="Arial" w:hAnsi="Arial" w:cs="Arial"/>
          <w:snapToGrid/>
          <w:sz w:val="18"/>
          <w:szCs w:val="18"/>
          <w:lang w:val="es-CO"/>
        </w:rPr>
      </w:pPr>
      <w:r>
        <w:rPr>
          <w:rFonts w:ascii="Arial" w:hAnsi="Arial" w:cs="Arial"/>
          <w:sz w:val="18"/>
          <w:szCs w:val="18"/>
          <w:lang w:val="es-CO"/>
        </w:rPr>
        <w:lastRenderedPageBreak/>
        <w:t>La ponderación de la contraparte se debe realizar en los términos del artículo 2.1.1.3.2 del Decreto 2555 de 2010 y las instrucciones sobre la ponderación de los APNR del Formato 239 (Proforma F.1000-141) “Reporte de Información de Margen de Solvencia y Otros Requerimientos de Patrimonio y Declaración del Control de Ley Margen de Solvencia” y su correspondiente instructivo.</w:t>
      </w:r>
    </w:p>
    <w:p w14:paraId="4CE396A2" w14:textId="77777777" w:rsidR="00DF605C" w:rsidRPr="003659F4" w:rsidRDefault="00DF605C" w:rsidP="00DF605C">
      <w:pPr>
        <w:rPr>
          <w:rFonts w:ascii="Arial" w:hAnsi="Arial" w:cs="Arial"/>
          <w:color w:val="000000"/>
          <w:sz w:val="18"/>
          <w:szCs w:val="18"/>
          <w:lang w:eastAsia="es-CO"/>
        </w:rPr>
      </w:pPr>
    </w:p>
    <w:p w14:paraId="5216A3EF" w14:textId="77777777" w:rsidR="00DF605C" w:rsidRPr="0072662F" w:rsidRDefault="00DF605C" w:rsidP="00DF605C">
      <w:pPr>
        <w:pStyle w:val="Prrafodelista"/>
        <w:numPr>
          <w:ilvl w:val="2"/>
          <w:numId w:val="41"/>
        </w:numPr>
        <w:snapToGrid w:val="0"/>
        <w:jc w:val="both"/>
        <w:outlineLvl w:val="2"/>
        <w:rPr>
          <w:rFonts w:ascii="Arial" w:hAnsi="Arial" w:cs="Arial"/>
          <w:snapToGrid/>
          <w:sz w:val="18"/>
          <w:szCs w:val="18"/>
        </w:rPr>
      </w:pPr>
      <w:r w:rsidRPr="0072662F">
        <w:rPr>
          <w:rFonts w:ascii="Arial" w:hAnsi="Arial" w:cs="Arial"/>
          <w:sz w:val="18"/>
          <w:szCs w:val="18"/>
        </w:rPr>
        <w:t>Ponderación de la exposición crediticia de los instrumentos financieros derivados</w:t>
      </w:r>
    </w:p>
    <w:p w14:paraId="499BF4EB" w14:textId="77777777" w:rsidR="00DF605C" w:rsidRDefault="00DF605C" w:rsidP="00DF605C">
      <w:pPr>
        <w:jc w:val="both"/>
        <w:rPr>
          <w:rFonts w:ascii="Arial" w:hAnsi="Arial" w:cs="Arial"/>
          <w:sz w:val="18"/>
          <w:szCs w:val="18"/>
        </w:rPr>
      </w:pPr>
    </w:p>
    <w:p w14:paraId="15A50971" w14:textId="1B598B41" w:rsidR="00B40EFF" w:rsidRPr="00DF605C" w:rsidRDefault="00DF605C" w:rsidP="00DF605C">
      <w:pPr>
        <w:jc w:val="both"/>
        <w:rPr>
          <w:rFonts w:ascii="Arial" w:hAnsi="Arial" w:cs="Arial"/>
          <w:sz w:val="18"/>
          <w:szCs w:val="18"/>
        </w:rPr>
      </w:pPr>
      <w:r>
        <w:rPr>
          <w:rFonts w:ascii="Arial" w:hAnsi="Arial" w:cs="Arial"/>
          <w:sz w:val="18"/>
          <w:szCs w:val="18"/>
        </w:rPr>
        <w:t>La exposición con instrumentos financieros derivados corresponde a la multiplicación de la Exposición Crediticia (EC) por el factor de ponderación que le corresponda a cada contraparte. El valor de la exposición crediticia de los instrumentos financieros derivados se debe calcular conforme a lo dispuesto en el Anexo 3 del Capítulo XVIII de la CBCF.</w:t>
      </w:r>
    </w:p>
    <w:sectPr w:rsidR="00B40EFF" w:rsidRPr="00DF605C" w:rsidSect="0077367E">
      <w:headerReference w:type="default" r:id="rId16"/>
      <w:pgSz w:w="12240" w:h="18720" w:code="41"/>
      <w:pgMar w:top="1477" w:right="1134" w:bottom="1701" w:left="1701" w:header="283" w:footer="907" w:gutter="0"/>
      <w:paperSrc w:first="3" w:other="3"/>
      <w:pgNumType w:start="129"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8303C" w14:textId="77777777" w:rsidR="00242622" w:rsidRDefault="00242622" w:rsidP="0013684A">
      <w:r>
        <w:separator/>
      </w:r>
    </w:p>
  </w:endnote>
  <w:endnote w:type="continuationSeparator" w:id="0">
    <w:p w14:paraId="48C0CAB8" w14:textId="77777777" w:rsidR="00242622" w:rsidRDefault="00242622" w:rsidP="0013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6154C" w14:textId="1067C240" w:rsidR="009513A4" w:rsidRPr="00565A7F" w:rsidRDefault="009513A4" w:rsidP="009513A4">
    <w:pPr>
      <w:pStyle w:val="Piedepgina"/>
      <w:tabs>
        <w:tab w:val="clear" w:pos="4252"/>
        <w:tab w:val="clear" w:pos="8504"/>
        <w:tab w:val="left" w:pos="1686"/>
      </w:tabs>
      <w:rPr>
        <w:rFonts w:ascii="Arial" w:hAnsi="Arial" w:cs="Arial"/>
        <w:b/>
        <w:bCs/>
        <w:sz w:val="18"/>
        <w:szCs w:val="18"/>
      </w:rPr>
    </w:pPr>
    <w:r w:rsidRPr="00565A7F">
      <w:rPr>
        <w:rFonts w:ascii="Arial" w:hAnsi="Arial" w:cs="Arial"/>
        <w:b/>
        <w:bCs/>
        <w:sz w:val="18"/>
        <w:szCs w:val="18"/>
      </w:rPr>
      <w:t xml:space="preserve">Circular </w:t>
    </w:r>
    <w:proofErr w:type="gramStart"/>
    <w:r w:rsidRPr="00565A7F">
      <w:rPr>
        <w:rFonts w:ascii="Arial" w:hAnsi="Arial" w:cs="Arial"/>
        <w:b/>
        <w:bCs/>
        <w:sz w:val="18"/>
        <w:szCs w:val="18"/>
      </w:rPr>
      <w:t>Externa</w:t>
    </w:r>
    <w:r w:rsidR="003659F4">
      <w:rPr>
        <w:rFonts w:ascii="Arial" w:hAnsi="Arial" w:cs="Arial"/>
        <w:b/>
        <w:bCs/>
        <w:sz w:val="18"/>
        <w:szCs w:val="18"/>
      </w:rPr>
      <w:t xml:space="preserve">  </w:t>
    </w:r>
    <w:r w:rsidR="00354C6A">
      <w:rPr>
        <w:rFonts w:ascii="Arial" w:hAnsi="Arial" w:cs="Arial"/>
        <w:b/>
        <w:bCs/>
        <w:sz w:val="18"/>
        <w:szCs w:val="18"/>
      </w:rPr>
      <w:t>019</w:t>
    </w:r>
    <w:proofErr w:type="gramEnd"/>
    <w:r w:rsidRPr="00565A7F">
      <w:rPr>
        <w:rFonts w:ascii="Arial" w:hAnsi="Arial" w:cs="Arial"/>
        <w:b/>
        <w:bCs/>
        <w:sz w:val="18"/>
        <w:szCs w:val="18"/>
      </w:rPr>
      <w:t xml:space="preserve"> de 2022</w:t>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r>
    <w:r w:rsidR="00565A7F">
      <w:rPr>
        <w:rFonts w:ascii="Arial" w:hAnsi="Arial" w:cs="Arial"/>
        <w:b/>
        <w:bCs/>
        <w:sz w:val="18"/>
        <w:szCs w:val="18"/>
      </w:rPr>
      <w:tab/>
      <w:t xml:space="preserve">        Julio de 2022</w:t>
    </w:r>
  </w:p>
  <w:p w14:paraId="7758ADDD" w14:textId="682B0405" w:rsidR="009513A4" w:rsidRDefault="009513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46C7" w14:textId="77777777" w:rsidR="00242622" w:rsidRDefault="00242622" w:rsidP="0013684A">
      <w:r>
        <w:separator/>
      </w:r>
    </w:p>
  </w:footnote>
  <w:footnote w:type="continuationSeparator" w:id="0">
    <w:p w14:paraId="0F87D962" w14:textId="77777777" w:rsidR="00242622" w:rsidRDefault="00242622" w:rsidP="0013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933309726"/>
      <w:docPartObj>
        <w:docPartGallery w:val="Page Numbers (Top of Page)"/>
        <w:docPartUnique/>
      </w:docPartObj>
    </w:sdtPr>
    <w:sdtEndPr>
      <w:rPr>
        <w:rStyle w:val="Nmerodepgina"/>
      </w:rPr>
    </w:sdtEndPr>
    <w:sdtContent>
      <w:p w14:paraId="2BA4438A" w14:textId="24D6D729" w:rsidR="003C0748" w:rsidRDefault="003C0748" w:rsidP="006615AB">
        <w:pPr>
          <w:pStyle w:val="Encabezado"/>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CA0ABF">
          <w:rPr>
            <w:rStyle w:val="Nmerodepgina"/>
            <w:noProof/>
          </w:rPr>
          <w:t>130</w:t>
        </w:r>
        <w:r>
          <w:rPr>
            <w:rStyle w:val="Nmerodepgina"/>
          </w:rPr>
          <w:fldChar w:fldCharType="end"/>
        </w:r>
      </w:p>
    </w:sdtContent>
  </w:sdt>
  <w:p w14:paraId="02A76D94" w14:textId="77777777" w:rsidR="003C0748" w:rsidRDefault="003C0748" w:rsidP="003C0748">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9674" w14:textId="77777777" w:rsidR="00565A7F" w:rsidRDefault="00565A7F" w:rsidP="003C0748">
    <w:pPr>
      <w:pStyle w:val="Encabezado"/>
      <w:ind w:firstLine="360"/>
      <w:jc w:val="center"/>
      <w:rPr>
        <w:rFonts w:ascii="Arial" w:hAnsi="Arial" w:cs="Arial"/>
        <w:b/>
        <w:sz w:val="24"/>
        <w:szCs w:val="22"/>
      </w:rPr>
    </w:pPr>
  </w:p>
  <w:p w14:paraId="585D5945" w14:textId="507290E6" w:rsidR="000F2C41" w:rsidRPr="00FA02E1" w:rsidRDefault="000F2C41" w:rsidP="003C0748">
    <w:pPr>
      <w:pStyle w:val="Encabezado"/>
      <w:ind w:firstLine="360"/>
      <w:jc w:val="center"/>
      <w:rPr>
        <w:rFonts w:ascii="Arial" w:hAnsi="Arial" w:cs="Arial"/>
        <w:b/>
        <w:sz w:val="24"/>
        <w:szCs w:val="22"/>
      </w:rPr>
    </w:pPr>
    <w:r w:rsidRPr="00FA02E1">
      <w:rPr>
        <w:rFonts w:ascii="Arial" w:hAnsi="Arial" w:cs="Arial"/>
        <w:b/>
        <w:sz w:val="24"/>
        <w:szCs w:val="22"/>
      </w:rPr>
      <w:t>SUPERINTENDENCIA FINANCIERA DE COLOMBIA</w:t>
    </w:r>
  </w:p>
  <w:p w14:paraId="103681B6" w14:textId="77777777" w:rsidR="000F2C41" w:rsidRDefault="000F2C41">
    <w:pPr>
      <w:pStyle w:val="Encabezado"/>
    </w:pPr>
  </w:p>
  <w:sdt>
    <w:sdtPr>
      <w:rPr>
        <w:rStyle w:val="Nmerodepgina"/>
      </w:rPr>
      <w:id w:val="-2066085638"/>
      <w:docPartObj>
        <w:docPartGallery w:val="Page Numbers (Top of Page)"/>
        <w:docPartUnique/>
      </w:docPartObj>
    </w:sdtPr>
    <w:sdtEndPr>
      <w:rPr>
        <w:rStyle w:val="Nmerodepgina"/>
        <w:rFonts w:ascii="Arial" w:hAnsi="Arial" w:cs="Arial"/>
        <w:b/>
        <w:bCs/>
        <w:sz w:val="18"/>
        <w:szCs w:val="18"/>
      </w:rPr>
    </w:sdtEndPr>
    <w:sdtContent>
      <w:p w14:paraId="3076A01F" w14:textId="6DEFD853" w:rsidR="003C0748" w:rsidRPr="003C0748" w:rsidRDefault="003C0748" w:rsidP="003C0748">
        <w:pPr>
          <w:pStyle w:val="Encabezado"/>
          <w:rPr>
            <w:rStyle w:val="Nmerodepgina"/>
            <w:rFonts w:ascii="Arial" w:hAnsi="Arial" w:cs="Arial"/>
            <w:b/>
            <w:sz w:val="18"/>
            <w:szCs w:val="18"/>
          </w:rPr>
        </w:pPr>
        <w:r w:rsidRPr="00FA02E1">
          <w:rPr>
            <w:rFonts w:ascii="Arial" w:hAnsi="Arial" w:cs="Arial"/>
            <w:b/>
            <w:sz w:val="18"/>
            <w:szCs w:val="18"/>
          </w:rPr>
          <w:t>CAPITULO XIII - CONTROLES DE LEY</w:t>
        </w:r>
      </w:p>
      <w:p w14:paraId="78180574" w14:textId="2FDD72A0" w:rsidR="006615AB" w:rsidRPr="006615AB" w:rsidRDefault="006615AB" w:rsidP="006615AB">
        <w:pPr>
          <w:pStyle w:val="Encabezado"/>
          <w:framePr w:wrap="none" w:vAnchor="text" w:hAnchor="margin" w:y="70"/>
          <w:rPr>
            <w:rStyle w:val="Nmerodepgina"/>
            <w:rFonts w:ascii="Arial" w:hAnsi="Arial" w:cs="Arial"/>
            <w:b/>
            <w:bCs/>
            <w:sz w:val="18"/>
            <w:szCs w:val="18"/>
          </w:rPr>
        </w:pPr>
        <w:r w:rsidRPr="006615AB">
          <w:rPr>
            <w:rStyle w:val="Nmerodepgina"/>
            <w:rFonts w:ascii="Arial" w:hAnsi="Arial" w:cs="Arial"/>
            <w:b/>
            <w:bCs/>
            <w:sz w:val="18"/>
            <w:szCs w:val="18"/>
          </w:rPr>
          <w:t xml:space="preserve">Página </w:t>
        </w:r>
        <w:sdt>
          <w:sdtPr>
            <w:rPr>
              <w:rStyle w:val="Nmerodepgina"/>
              <w:rFonts w:ascii="Arial" w:hAnsi="Arial" w:cs="Arial"/>
              <w:b/>
              <w:bCs/>
              <w:sz w:val="18"/>
              <w:szCs w:val="18"/>
            </w:rPr>
            <w:id w:val="1946263594"/>
            <w:docPartObj>
              <w:docPartGallery w:val="Page Numbers (Top of Page)"/>
              <w:docPartUnique/>
            </w:docPartObj>
          </w:sdtPr>
          <w:sdtEndPr>
            <w:rPr>
              <w:rStyle w:val="Nmerodepgina"/>
            </w:rPr>
          </w:sdtEndPr>
          <w:sdtContent>
            <w:r w:rsidRPr="006615AB">
              <w:rPr>
                <w:rStyle w:val="Nmerodepgina"/>
                <w:rFonts w:ascii="Arial" w:hAnsi="Arial" w:cs="Arial"/>
                <w:b/>
                <w:bCs/>
                <w:sz w:val="18"/>
                <w:szCs w:val="18"/>
              </w:rPr>
              <w:fldChar w:fldCharType="begin"/>
            </w:r>
            <w:r w:rsidRPr="006615AB">
              <w:rPr>
                <w:rStyle w:val="Nmerodepgina"/>
                <w:rFonts w:ascii="Arial" w:hAnsi="Arial" w:cs="Arial"/>
                <w:b/>
                <w:bCs/>
                <w:sz w:val="18"/>
                <w:szCs w:val="18"/>
              </w:rPr>
              <w:instrText xml:space="preserve"> PAGE </w:instrText>
            </w:r>
            <w:r w:rsidRPr="006615AB">
              <w:rPr>
                <w:rStyle w:val="Nmerodepgina"/>
                <w:rFonts w:ascii="Arial" w:hAnsi="Arial" w:cs="Arial"/>
                <w:b/>
                <w:bCs/>
                <w:sz w:val="18"/>
                <w:szCs w:val="18"/>
              </w:rPr>
              <w:fldChar w:fldCharType="separate"/>
            </w:r>
            <w:r w:rsidRPr="006615AB">
              <w:rPr>
                <w:rStyle w:val="Nmerodepgina"/>
                <w:rFonts w:ascii="Arial" w:hAnsi="Arial" w:cs="Arial"/>
                <w:b/>
                <w:bCs/>
                <w:noProof/>
                <w:sz w:val="18"/>
                <w:szCs w:val="18"/>
              </w:rPr>
              <w:t>129</w:t>
            </w:r>
            <w:r w:rsidRPr="006615AB">
              <w:rPr>
                <w:rStyle w:val="Nmerodepgina"/>
                <w:rFonts w:ascii="Arial" w:hAnsi="Arial" w:cs="Arial"/>
                <w:b/>
                <w:bCs/>
                <w:sz w:val="18"/>
                <w:szCs w:val="18"/>
              </w:rPr>
              <w:fldChar w:fldCharType="end"/>
            </w:r>
          </w:sdtContent>
        </w:sdt>
      </w:p>
      <w:p w14:paraId="2230CE28" w14:textId="04DBB4C5" w:rsidR="000F2C41" w:rsidRPr="003C0748" w:rsidRDefault="00354C6A" w:rsidP="005426D8">
        <w:pPr>
          <w:pStyle w:val="Encabezado"/>
          <w:rPr>
            <w:rFonts w:ascii="Arial" w:hAnsi="Arial" w:cs="Arial"/>
            <w:b/>
            <w:bCs/>
            <w:sz w:val="18"/>
            <w:szCs w:val="18"/>
          </w:rPr>
        </w:pPr>
      </w:p>
    </w:sdtContent>
  </w:sdt>
  <w:p w14:paraId="45618DC7" w14:textId="77777777" w:rsidR="000F2C41" w:rsidRPr="00FA02E1" w:rsidRDefault="000F2C41" w:rsidP="005426D8">
    <w:pPr>
      <w:pStyle w:val="Encabezado"/>
      <w:rPr>
        <w:rFonts w:ascii="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4ED4" w14:textId="77777777" w:rsidR="00DF605C" w:rsidRDefault="00DF605C" w:rsidP="003C0748">
    <w:pPr>
      <w:pStyle w:val="Encabezado"/>
      <w:ind w:firstLine="360"/>
      <w:jc w:val="center"/>
      <w:rPr>
        <w:rFonts w:ascii="Arial" w:hAnsi="Arial" w:cs="Arial"/>
        <w:b/>
        <w:sz w:val="24"/>
        <w:szCs w:val="22"/>
      </w:rPr>
    </w:pPr>
  </w:p>
  <w:p w14:paraId="154207E4" w14:textId="77777777" w:rsidR="00DF605C" w:rsidRPr="00FA02E1" w:rsidRDefault="00DF605C" w:rsidP="003C0748">
    <w:pPr>
      <w:pStyle w:val="Encabezado"/>
      <w:ind w:firstLine="360"/>
      <w:jc w:val="center"/>
      <w:rPr>
        <w:rFonts w:ascii="Arial" w:hAnsi="Arial" w:cs="Arial"/>
        <w:b/>
        <w:sz w:val="24"/>
        <w:szCs w:val="22"/>
      </w:rPr>
    </w:pPr>
    <w:r w:rsidRPr="00FA02E1">
      <w:rPr>
        <w:rFonts w:ascii="Arial" w:hAnsi="Arial" w:cs="Arial"/>
        <w:b/>
        <w:sz w:val="24"/>
        <w:szCs w:val="22"/>
      </w:rPr>
      <w:t>SUPERINTENDENCIA FINANCIERA DE COLOMBIA</w:t>
    </w:r>
  </w:p>
  <w:p w14:paraId="21356662" w14:textId="77777777" w:rsidR="00DF605C" w:rsidRDefault="00DF605C">
    <w:pPr>
      <w:pStyle w:val="Encabezado"/>
    </w:pPr>
  </w:p>
  <w:sdt>
    <w:sdtPr>
      <w:rPr>
        <w:rStyle w:val="Nmerodepgina"/>
      </w:rPr>
      <w:id w:val="1545710564"/>
      <w:docPartObj>
        <w:docPartGallery w:val="Page Numbers (Top of Page)"/>
        <w:docPartUnique/>
      </w:docPartObj>
    </w:sdtPr>
    <w:sdtEndPr>
      <w:rPr>
        <w:rStyle w:val="Nmerodepgina"/>
        <w:rFonts w:ascii="Arial" w:hAnsi="Arial" w:cs="Arial"/>
        <w:b/>
        <w:bCs/>
        <w:sz w:val="18"/>
        <w:szCs w:val="18"/>
      </w:rPr>
    </w:sdtEndPr>
    <w:sdtContent>
      <w:p w14:paraId="18A58C0E" w14:textId="77777777" w:rsidR="00DF605C" w:rsidRPr="003C0748" w:rsidRDefault="00DF605C" w:rsidP="003C0748">
        <w:pPr>
          <w:pStyle w:val="Encabezado"/>
          <w:rPr>
            <w:rStyle w:val="Nmerodepgina"/>
            <w:rFonts w:ascii="Arial" w:hAnsi="Arial" w:cs="Arial"/>
            <w:b/>
            <w:sz w:val="18"/>
            <w:szCs w:val="18"/>
          </w:rPr>
        </w:pPr>
        <w:r w:rsidRPr="00FA02E1">
          <w:rPr>
            <w:rFonts w:ascii="Arial" w:hAnsi="Arial" w:cs="Arial"/>
            <w:b/>
            <w:sz w:val="18"/>
            <w:szCs w:val="18"/>
          </w:rPr>
          <w:t>CAPITULO XIII - CONTROLES DE LEY</w:t>
        </w:r>
      </w:p>
      <w:p w14:paraId="21FAAF62" w14:textId="6C44607A" w:rsidR="00DF605C" w:rsidRPr="006615AB" w:rsidRDefault="00DF605C" w:rsidP="006615AB">
        <w:pPr>
          <w:pStyle w:val="Encabezado"/>
          <w:framePr w:wrap="none" w:vAnchor="text" w:hAnchor="margin" w:y="70"/>
          <w:rPr>
            <w:rStyle w:val="Nmerodepgina"/>
            <w:rFonts w:ascii="Arial" w:hAnsi="Arial" w:cs="Arial"/>
            <w:b/>
            <w:bCs/>
            <w:sz w:val="18"/>
            <w:szCs w:val="18"/>
          </w:rPr>
        </w:pPr>
        <w:r w:rsidRPr="006615AB">
          <w:rPr>
            <w:rStyle w:val="Nmerodepgina"/>
            <w:rFonts w:ascii="Arial" w:hAnsi="Arial" w:cs="Arial"/>
            <w:b/>
            <w:bCs/>
            <w:sz w:val="18"/>
            <w:szCs w:val="18"/>
          </w:rPr>
          <w:t xml:space="preserve">Página </w:t>
        </w:r>
        <w:sdt>
          <w:sdtPr>
            <w:rPr>
              <w:rStyle w:val="Nmerodepgina"/>
              <w:rFonts w:ascii="Arial" w:hAnsi="Arial" w:cs="Arial"/>
              <w:b/>
              <w:bCs/>
              <w:sz w:val="18"/>
              <w:szCs w:val="18"/>
            </w:rPr>
            <w:id w:val="-1402826465"/>
            <w:docPartObj>
              <w:docPartGallery w:val="Page Numbers (Top of Page)"/>
              <w:docPartUnique/>
            </w:docPartObj>
          </w:sdtPr>
          <w:sdtEndPr>
            <w:rPr>
              <w:rStyle w:val="Nmerodepgina"/>
            </w:rPr>
          </w:sdtEndPr>
          <w:sdtContent>
            <w:r>
              <w:rPr>
                <w:rStyle w:val="Nmerodepgina"/>
                <w:rFonts w:ascii="Arial" w:hAnsi="Arial" w:cs="Arial"/>
                <w:b/>
                <w:bCs/>
                <w:sz w:val="18"/>
                <w:szCs w:val="18"/>
              </w:rPr>
              <w:t>130-1</w:t>
            </w:r>
          </w:sdtContent>
        </w:sdt>
      </w:p>
      <w:p w14:paraId="29270238" w14:textId="77777777" w:rsidR="00DF605C" w:rsidRPr="003C0748" w:rsidRDefault="00354C6A" w:rsidP="005426D8">
        <w:pPr>
          <w:pStyle w:val="Encabezado"/>
          <w:rPr>
            <w:rFonts w:ascii="Arial" w:hAnsi="Arial" w:cs="Arial"/>
            <w:b/>
            <w:bCs/>
            <w:sz w:val="18"/>
            <w:szCs w:val="18"/>
          </w:rPr>
        </w:pPr>
      </w:p>
    </w:sdtContent>
  </w:sdt>
  <w:p w14:paraId="588CD9FC" w14:textId="77777777" w:rsidR="00DF605C" w:rsidRPr="00FA02E1" w:rsidRDefault="00DF605C" w:rsidP="005426D8">
    <w:pPr>
      <w:pStyle w:val="Encabezado"/>
      <w:rPr>
        <w:rFonts w:ascii="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D9D"/>
    <w:multiLevelType w:val="hybridMultilevel"/>
    <w:tmpl w:val="4BBA7500"/>
    <w:lvl w:ilvl="0" w:tplc="240A000F">
      <w:start w:val="6"/>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0EC0CAA"/>
    <w:multiLevelType w:val="hybridMultilevel"/>
    <w:tmpl w:val="63A4190C"/>
    <w:lvl w:ilvl="0" w:tplc="5F468458">
      <w:start w:val="1"/>
      <w:numFmt w:val="lowerRoman"/>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2C14A5B"/>
    <w:multiLevelType w:val="hybridMultilevel"/>
    <w:tmpl w:val="F1EC9C6C"/>
    <w:lvl w:ilvl="0" w:tplc="BD4481D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3701C08"/>
    <w:multiLevelType w:val="hybridMultilevel"/>
    <w:tmpl w:val="2EEC8D22"/>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3BB4A53"/>
    <w:multiLevelType w:val="hybridMultilevel"/>
    <w:tmpl w:val="2FF8A19E"/>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47066A5"/>
    <w:multiLevelType w:val="multilevel"/>
    <w:tmpl w:val="42B235B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1C09C1"/>
    <w:multiLevelType w:val="multilevel"/>
    <w:tmpl w:val="CD48C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9D7C24"/>
    <w:multiLevelType w:val="multilevel"/>
    <w:tmpl w:val="967C86CE"/>
    <w:lvl w:ilvl="0">
      <w:start w:val="2"/>
      <w:numFmt w:val="decimal"/>
      <w:lvlText w:val="%1."/>
      <w:lvlJc w:val="left"/>
      <w:pPr>
        <w:ind w:left="528" w:hanging="528"/>
      </w:pPr>
      <w:rPr>
        <w:rFonts w:hint="default"/>
      </w:rPr>
    </w:lvl>
    <w:lvl w:ilvl="1">
      <w:start w:val="4"/>
      <w:numFmt w:val="decimal"/>
      <w:lvlText w:val="%1.%2."/>
      <w:lvlJc w:val="left"/>
      <w:pPr>
        <w:ind w:left="528" w:hanging="528"/>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7440D4"/>
    <w:multiLevelType w:val="multilevel"/>
    <w:tmpl w:val="7BDE8926"/>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FE6DAF"/>
    <w:multiLevelType w:val="hybridMultilevel"/>
    <w:tmpl w:val="F05CA1B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0B12F6"/>
    <w:multiLevelType w:val="hybridMultilevel"/>
    <w:tmpl w:val="5BDA18C2"/>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A0319D0"/>
    <w:multiLevelType w:val="multilevel"/>
    <w:tmpl w:val="0EF88188"/>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49380C"/>
    <w:multiLevelType w:val="hybridMultilevel"/>
    <w:tmpl w:val="90C2CC84"/>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21DB00AF"/>
    <w:multiLevelType w:val="hybridMultilevel"/>
    <w:tmpl w:val="B42A3E94"/>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2CD5880"/>
    <w:multiLevelType w:val="hybridMultilevel"/>
    <w:tmpl w:val="9DEAB020"/>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250273D6"/>
    <w:multiLevelType w:val="hybridMultilevel"/>
    <w:tmpl w:val="8FF2DB04"/>
    <w:lvl w:ilvl="0" w:tplc="6804FC88">
      <w:start w:val="9"/>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7" w15:restartNumberingAfterBreak="0">
    <w:nsid w:val="32CA2E19"/>
    <w:multiLevelType w:val="hybridMultilevel"/>
    <w:tmpl w:val="29EEEC1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CB51BE3"/>
    <w:multiLevelType w:val="hybridMultilevel"/>
    <w:tmpl w:val="CA92F7FE"/>
    <w:lvl w:ilvl="0" w:tplc="5A4A5BEC">
      <w:start w:val="1"/>
      <w:numFmt w:val="lowerRoman"/>
      <w:lvlText w:val="%1)"/>
      <w:lvlJc w:val="left"/>
      <w:pPr>
        <w:ind w:left="1146" w:hanging="72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9" w15:restartNumberingAfterBreak="0">
    <w:nsid w:val="3F3F1E16"/>
    <w:multiLevelType w:val="hybridMultilevel"/>
    <w:tmpl w:val="B218D3AA"/>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411E5314"/>
    <w:multiLevelType w:val="hybridMultilevel"/>
    <w:tmpl w:val="A39866B4"/>
    <w:lvl w:ilvl="0" w:tplc="BC14F3B2">
      <w:start w:val="1"/>
      <w:numFmt w:val="lowerLetter"/>
      <w:lvlText w:val="%1)"/>
      <w:lvlJc w:val="left"/>
      <w:pPr>
        <w:ind w:left="786" w:hanging="360"/>
      </w:pPr>
      <w:rPr>
        <w:rFonts w:hint="default"/>
        <w:i/>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1" w15:restartNumberingAfterBreak="0">
    <w:nsid w:val="41C847B9"/>
    <w:multiLevelType w:val="multilevel"/>
    <w:tmpl w:val="87DEB8CA"/>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F004AF"/>
    <w:multiLevelType w:val="hybridMultilevel"/>
    <w:tmpl w:val="C7D26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818171C"/>
    <w:multiLevelType w:val="hybridMultilevel"/>
    <w:tmpl w:val="A842986A"/>
    <w:lvl w:ilvl="0" w:tplc="B748FB48">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489412BB"/>
    <w:multiLevelType w:val="hybridMultilevel"/>
    <w:tmpl w:val="8BF4A59C"/>
    <w:lvl w:ilvl="0" w:tplc="41DAAF02">
      <w:start w:val="2"/>
      <w:numFmt w:val="lowerRoman"/>
      <w:lvlText w:val="%1)"/>
      <w:lvlJc w:val="left"/>
      <w:pPr>
        <w:ind w:left="1146" w:hanging="72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5" w15:restartNumberingAfterBreak="0">
    <w:nsid w:val="49F57A8E"/>
    <w:multiLevelType w:val="hybridMultilevel"/>
    <w:tmpl w:val="6BF6538C"/>
    <w:lvl w:ilvl="0" w:tplc="240A0017">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6" w15:restartNumberingAfterBreak="0">
    <w:nsid w:val="4DE50BAF"/>
    <w:multiLevelType w:val="hybridMultilevel"/>
    <w:tmpl w:val="F0882CBA"/>
    <w:lvl w:ilvl="0" w:tplc="299000D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1B6677E"/>
    <w:multiLevelType w:val="multilevel"/>
    <w:tmpl w:val="29EA4566"/>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2B64AB2"/>
    <w:multiLevelType w:val="multilevel"/>
    <w:tmpl w:val="8A567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007FF4"/>
    <w:multiLevelType w:val="hybridMultilevel"/>
    <w:tmpl w:val="6CEC19D2"/>
    <w:lvl w:ilvl="0" w:tplc="299000D0">
      <w:start w:val="1"/>
      <w:numFmt w:val="lowerRoman"/>
      <w:lvlText w:val="%1)"/>
      <w:lvlJc w:val="left"/>
      <w:pPr>
        <w:ind w:left="1572" w:hanging="1146"/>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0" w15:restartNumberingAfterBreak="0">
    <w:nsid w:val="66551A51"/>
    <w:multiLevelType w:val="hybridMultilevel"/>
    <w:tmpl w:val="B7526BA8"/>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666579EC"/>
    <w:multiLevelType w:val="multilevel"/>
    <w:tmpl w:val="48CE6F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7CE0D68"/>
    <w:multiLevelType w:val="hybridMultilevel"/>
    <w:tmpl w:val="E0640B6A"/>
    <w:lvl w:ilvl="0" w:tplc="299000D0">
      <w:start w:val="1"/>
      <w:numFmt w:val="lowerRoman"/>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68456AE6"/>
    <w:multiLevelType w:val="hybridMultilevel"/>
    <w:tmpl w:val="7DDE296A"/>
    <w:lvl w:ilvl="0" w:tplc="9154C07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889176C"/>
    <w:multiLevelType w:val="hybridMultilevel"/>
    <w:tmpl w:val="6F3A86F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C281455"/>
    <w:multiLevelType w:val="hybridMultilevel"/>
    <w:tmpl w:val="67D6F782"/>
    <w:lvl w:ilvl="0" w:tplc="5F468458">
      <w:start w:val="1"/>
      <w:numFmt w:val="lowerRoman"/>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E2D051D"/>
    <w:multiLevelType w:val="hybridMultilevel"/>
    <w:tmpl w:val="F872F422"/>
    <w:lvl w:ilvl="0" w:tplc="AB9034D4">
      <w:start w:val="2"/>
      <w:numFmt w:val="lowerRoman"/>
      <w:lvlText w:val="%1)"/>
      <w:lvlJc w:val="left"/>
      <w:pPr>
        <w:ind w:left="1146" w:hanging="72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7" w15:restartNumberingAfterBreak="0">
    <w:nsid w:val="761D0D60"/>
    <w:multiLevelType w:val="multilevel"/>
    <w:tmpl w:val="B09A92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8371DE0"/>
    <w:multiLevelType w:val="multilevel"/>
    <w:tmpl w:val="04EC4DD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481CF6"/>
    <w:multiLevelType w:val="hybridMultilevel"/>
    <w:tmpl w:val="7974EC04"/>
    <w:lvl w:ilvl="0" w:tplc="240A0017">
      <w:start w:val="1"/>
      <w:numFmt w:val="lowerLetter"/>
      <w:lvlText w:val="%1)"/>
      <w:lvlJc w:val="left"/>
      <w:pPr>
        <w:ind w:left="720" w:hanging="72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abstractNumId w:val="17"/>
  </w:num>
  <w:num w:numId="2">
    <w:abstractNumId w:val="25"/>
  </w:num>
  <w:num w:numId="3">
    <w:abstractNumId w:val="4"/>
  </w:num>
  <w:num w:numId="4">
    <w:abstractNumId w:val="12"/>
  </w:num>
  <w:num w:numId="5">
    <w:abstractNumId w:val="31"/>
  </w:num>
  <w:num w:numId="6">
    <w:abstractNumId w:val="34"/>
  </w:num>
  <w:num w:numId="7">
    <w:abstractNumId w:val="5"/>
  </w:num>
  <w:num w:numId="8">
    <w:abstractNumId w:val="3"/>
  </w:num>
  <w:num w:numId="9">
    <w:abstractNumId w:val="23"/>
  </w:num>
  <w:num w:numId="10">
    <w:abstractNumId w:val="0"/>
  </w:num>
  <w:num w:numId="11">
    <w:abstractNumId w:val="37"/>
  </w:num>
  <w:num w:numId="12">
    <w:abstractNumId w:val="13"/>
  </w:num>
  <w:num w:numId="13">
    <w:abstractNumId w:val="28"/>
  </w:num>
  <w:num w:numId="14">
    <w:abstractNumId w:val="38"/>
  </w:num>
  <w:num w:numId="15">
    <w:abstractNumId w:val="7"/>
  </w:num>
  <w:num w:numId="16">
    <w:abstractNumId w:val="39"/>
  </w:num>
  <w:num w:numId="17">
    <w:abstractNumId w:val="19"/>
  </w:num>
  <w:num w:numId="18">
    <w:abstractNumId w:val="14"/>
  </w:num>
  <w:num w:numId="19">
    <w:abstractNumId w:val="1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20"/>
  </w:num>
  <w:num w:numId="24">
    <w:abstractNumId w:val="16"/>
  </w:num>
  <w:num w:numId="25">
    <w:abstractNumId w:val="2"/>
  </w:num>
  <w:num w:numId="26">
    <w:abstractNumId w:val="18"/>
  </w:num>
  <w:num w:numId="27">
    <w:abstractNumId w:val="1"/>
  </w:num>
  <w:num w:numId="28">
    <w:abstractNumId w:val="36"/>
  </w:num>
  <w:num w:numId="29">
    <w:abstractNumId w:val="24"/>
  </w:num>
  <w:num w:numId="30">
    <w:abstractNumId w:val="6"/>
  </w:num>
  <w:num w:numId="31">
    <w:abstractNumId w:val="29"/>
  </w:num>
  <w:num w:numId="32">
    <w:abstractNumId w:val="35"/>
  </w:num>
  <w:num w:numId="33">
    <w:abstractNumId w:val="26"/>
  </w:num>
  <w:num w:numId="34">
    <w:abstractNumId w:val="32"/>
  </w:num>
  <w:num w:numId="35">
    <w:abstractNumId w:val="33"/>
  </w:num>
  <w:num w:numId="36">
    <w:abstractNumId w:val="30"/>
  </w:num>
  <w:num w:numId="37">
    <w:abstractNumId w:val="11"/>
  </w:num>
  <w:num w:numId="38">
    <w:abstractNumId w:val="21"/>
  </w:num>
  <w:num w:numId="39">
    <w:abstractNumId w:val="27"/>
  </w:num>
  <w:num w:numId="40">
    <w:abstractNumId w:val="21"/>
    <w:lvlOverride w:ilvl="0">
      <w:startOverride w:val="2"/>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84A"/>
    <w:rsid w:val="00000472"/>
    <w:rsid w:val="000009A0"/>
    <w:rsid w:val="00002C38"/>
    <w:rsid w:val="00002D2F"/>
    <w:rsid w:val="00003EB3"/>
    <w:rsid w:val="0000491B"/>
    <w:rsid w:val="0000582B"/>
    <w:rsid w:val="000058D1"/>
    <w:rsid w:val="00007252"/>
    <w:rsid w:val="00010503"/>
    <w:rsid w:val="00010CD3"/>
    <w:rsid w:val="00010DD6"/>
    <w:rsid w:val="00011189"/>
    <w:rsid w:val="000123AF"/>
    <w:rsid w:val="00014273"/>
    <w:rsid w:val="0001507B"/>
    <w:rsid w:val="00017123"/>
    <w:rsid w:val="00017AC0"/>
    <w:rsid w:val="00020308"/>
    <w:rsid w:val="00020DF9"/>
    <w:rsid w:val="0002140A"/>
    <w:rsid w:val="0002447D"/>
    <w:rsid w:val="00026682"/>
    <w:rsid w:val="00026F8E"/>
    <w:rsid w:val="000278D8"/>
    <w:rsid w:val="00031CB7"/>
    <w:rsid w:val="00032C00"/>
    <w:rsid w:val="00032F13"/>
    <w:rsid w:val="00034470"/>
    <w:rsid w:val="00035087"/>
    <w:rsid w:val="000359E5"/>
    <w:rsid w:val="00035DB3"/>
    <w:rsid w:val="00041F41"/>
    <w:rsid w:val="00042078"/>
    <w:rsid w:val="00044784"/>
    <w:rsid w:val="00044B2A"/>
    <w:rsid w:val="00045A0B"/>
    <w:rsid w:val="00047785"/>
    <w:rsid w:val="00050AFE"/>
    <w:rsid w:val="00052E02"/>
    <w:rsid w:val="00054640"/>
    <w:rsid w:val="00055BDE"/>
    <w:rsid w:val="000571A2"/>
    <w:rsid w:val="0005728E"/>
    <w:rsid w:val="00060016"/>
    <w:rsid w:val="00061FFC"/>
    <w:rsid w:val="00062A07"/>
    <w:rsid w:val="00062BA2"/>
    <w:rsid w:val="000634CA"/>
    <w:rsid w:val="000635E2"/>
    <w:rsid w:val="00063653"/>
    <w:rsid w:val="000646A5"/>
    <w:rsid w:val="000654D4"/>
    <w:rsid w:val="000663E0"/>
    <w:rsid w:val="00066BE9"/>
    <w:rsid w:val="00066E04"/>
    <w:rsid w:val="00066F47"/>
    <w:rsid w:val="00067842"/>
    <w:rsid w:val="00070A42"/>
    <w:rsid w:val="00071863"/>
    <w:rsid w:val="00071FD6"/>
    <w:rsid w:val="00072650"/>
    <w:rsid w:val="00072B81"/>
    <w:rsid w:val="000746A0"/>
    <w:rsid w:val="00076AB1"/>
    <w:rsid w:val="00077CB3"/>
    <w:rsid w:val="00080731"/>
    <w:rsid w:val="000814A8"/>
    <w:rsid w:val="00081A14"/>
    <w:rsid w:val="000826AD"/>
    <w:rsid w:val="0008396B"/>
    <w:rsid w:val="00084CB7"/>
    <w:rsid w:val="0008530C"/>
    <w:rsid w:val="00086659"/>
    <w:rsid w:val="000875B9"/>
    <w:rsid w:val="00090B4A"/>
    <w:rsid w:val="00090E63"/>
    <w:rsid w:val="00092666"/>
    <w:rsid w:val="00093A14"/>
    <w:rsid w:val="0009439B"/>
    <w:rsid w:val="000949EA"/>
    <w:rsid w:val="0009672A"/>
    <w:rsid w:val="00096FAB"/>
    <w:rsid w:val="0009763E"/>
    <w:rsid w:val="000A06C4"/>
    <w:rsid w:val="000A11C1"/>
    <w:rsid w:val="000A17D7"/>
    <w:rsid w:val="000A28AB"/>
    <w:rsid w:val="000A2CCD"/>
    <w:rsid w:val="000A30F6"/>
    <w:rsid w:val="000A3325"/>
    <w:rsid w:val="000A3F18"/>
    <w:rsid w:val="000A4A13"/>
    <w:rsid w:val="000A4C84"/>
    <w:rsid w:val="000A5BA3"/>
    <w:rsid w:val="000A5F13"/>
    <w:rsid w:val="000A6B05"/>
    <w:rsid w:val="000A6E2E"/>
    <w:rsid w:val="000B0C0D"/>
    <w:rsid w:val="000B13FC"/>
    <w:rsid w:val="000B2366"/>
    <w:rsid w:val="000B2F2C"/>
    <w:rsid w:val="000B416C"/>
    <w:rsid w:val="000B6439"/>
    <w:rsid w:val="000C2546"/>
    <w:rsid w:val="000C2847"/>
    <w:rsid w:val="000C4698"/>
    <w:rsid w:val="000C46C9"/>
    <w:rsid w:val="000C4968"/>
    <w:rsid w:val="000C4A8E"/>
    <w:rsid w:val="000C4F19"/>
    <w:rsid w:val="000C53B1"/>
    <w:rsid w:val="000C53EB"/>
    <w:rsid w:val="000C6F6D"/>
    <w:rsid w:val="000C759C"/>
    <w:rsid w:val="000D1B89"/>
    <w:rsid w:val="000D32D1"/>
    <w:rsid w:val="000D3320"/>
    <w:rsid w:val="000D5213"/>
    <w:rsid w:val="000D5CBE"/>
    <w:rsid w:val="000D61D6"/>
    <w:rsid w:val="000E1F7A"/>
    <w:rsid w:val="000E2F70"/>
    <w:rsid w:val="000E5B09"/>
    <w:rsid w:val="000E5CE4"/>
    <w:rsid w:val="000E747E"/>
    <w:rsid w:val="000F0BF3"/>
    <w:rsid w:val="000F2C41"/>
    <w:rsid w:val="000F4285"/>
    <w:rsid w:val="000F45AC"/>
    <w:rsid w:val="000F5DD9"/>
    <w:rsid w:val="001004AE"/>
    <w:rsid w:val="001004F6"/>
    <w:rsid w:val="0010145F"/>
    <w:rsid w:val="00102D87"/>
    <w:rsid w:val="00103C9F"/>
    <w:rsid w:val="00103F32"/>
    <w:rsid w:val="00104290"/>
    <w:rsid w:val="001044CA"/>
    <w:rsid w:val="0010460E"/>
    <w:rsid w:val="00104EE5"/>
    <w:rsid w:val="001055F6"/>
    <w:rsid w:val="00106161"/>
    <w:rsid w:val="0011061A"/>
    <w:rsid w:val="00110CB6"/>
    <w:rsid w:val="001115A5"/>
    <w:rsid w:val="00113932"/>
    <w:rsid w:val="00113C1A"/>
    <w:rsid w:val="00117EB0"/>
    <w:rsid w:val="0012160B"/>
    <w:rsid w:val="0012441C"/>
    <w:rsid w:val="00124BE0"/>
    <w:rsid w:val="00125979"/>
    <w:rsid w:val="00126508"/>
    <w:rsid w:val="00126A82"/>
    <w:rsid w:val="00126E04"/>
    <w:rsid w:val="001277DA"/>
    <w:rsid w:val="00131A09"/>
    <w:rsid w:val="00131F84"/>
    <w:rsid w:val="00136471"/>
    <w:rsid w:val="0013684A"/>
    <w:rsid w:val="00136BCA"/>
    <w:rsid w:val="00136C4B"/>
    <w:rsid w:val="0013708A"/>
    <w:rsid w:val="0014017D"/>
    <w:rsid w:val="00140621"/>
    <w:rsid w:val="00143CF7"/>
    <w:rsid w:val="00144E33"/>
    <w:rsid w:val="001454B8"/>
    <w:rsid w:val="0014579B"/>
    <w:rsid w:val="00146985"/>
    <w:rsid w:val="00151731"/>
    <w:rsid w:val="00152EDF"/>
    <w:rsid w:val="00154906"/>
    <w:rsid w:val="00157C09"/>
    <w:rsid w:val="0016001F"/>
    <w:rsid w:val="00161367"/>
    <w:rsid w:val="00161FB6"/>
    <w:rsid w:val="00162600"/>
    <w:rsid w:val="00163472"/>
    <w:rsid w:val="00164988"/>
    <w:rsid w:val="00164BFB"/>
    <w:rsid w:val="0016608E"/>
    <w:rsid w:val="0016626A"/>
    <w:rsid w:val="00166602"/>
    <w:rsid w:val="001668B4"/>
    <w:rsid w:val="0017177B"/>
    <w:rsid w:val="00171C23"/>
    <w:rsid w:val="0017253B"/>
    <w:rsid w:val="0017330D"/>
    <w:rsid w:val="00174E5B"/>
    <w:rsid w:val="00174F3F"/>
    <w:rsid w:val="00174FCC"/>
    <w:rsid w:val="00177F5A"/>
    <w:rsid w:val="001825AC"/>
    <w:rsid w:val="00182A15"/>
    <w:rsid w:val="00182CEB"/>
    <w:rsid w:val="0018321D"/>
    <w:rsid w:val="00184863"/>
    <w:rsid w:val="00184936"/>
    <w:rsid w:val="00185AAB"/>
    <w:rsid w:val="00186E6B"/>
    <w:rsid w:val="00187AA2"/>
    <w:rsid w:val="00187EB1"/>
    <w:rsid w:val="00187F01"/>
    <w:rsid w:val="00192855"/>
    <w:rsid w:val="00192D33"/>
    <w:rsid w:val="001940CD"/>
    <w:rsid w:val="001952EA"/>
    <w:rsid w:val="001978DF"/>
    <w:rsid w:val="001A0058"/>
    <w:rsid w:val="001A0E4B"/>
    <w:rsid w:val="001A10F4"/>
    <w:rsid w:val="001A1105"/>
    <w:rsid w:val="001A3620"/>
    <w:rsid w:val="001A4744"/>
    <w:rsid w:val="001A7181"/>
    <w:rsid w:val="001A74C2"/>
    <w:rsid w:val="001A7FDD"/>
    <w:rsid w:val="001B003A"/>
    <w:rsid w:val="001B3BA3"/>
    <w:rsid w:val="001B4381"/>
    <w:rsid w:val="001B590C"/>
    <w:rsid w:val="001B6743"/>
    <w:rsid w:val="001B7859"/>
    <w:rsid w:val="001C0195"/>
    <w:rsid w:val="001C1053"/>
    <w:rsid w:val="001C1521"/>
    <w:rsid w:val="001C42CA"/>
    <w:rsid w:val="001C471E"/>
    <w:rsid w:val="001C516E"/>
    <w:rsid w:val="001D32AD"/>
    <w:rsid w:val="001D4027"/>
    <w:rsid w:val="001D44DF"/>
    <w:rsid w:val="001E02BA"/>
    <w:rsid w:val="001E0F0D"/>
    <w:rsid w:val="001E11BE"/>
    <w:rsid w:val="001E18FA"/>
    <w:rsid w:val="001E2D06"/>
    <w:rsid w:val="001E3E48"/>
    <w:rsid w:val="001E76B3"/>
    <w:rsid w:val="001F143E"/>
    <w:rsid w:val="001F1923"/>
    <w:rsid w:val="001F1974"/>
    <w:rsid w:val="001F4836"/>
    <w:rsid w:val="001F6CFA"/>
    <w:rsid w:val="001F7389"/>
    <w:rsid w:val="001F7ED3"/>
    <w:rsid w:val="00200CC0"/>
    <w:rsid w:val="002040AE"/>
    <w:rsid w:val="00204FA5"/>
    <w:rsid w:val="00205401"/>
    <w:rsid w:val="00205E74"/>
    <w:rsid w:val="0020601C"/>
    <w:rsid w:val="0020616F"/>
    <w:rsid w:val="00207404"/>
    <w:rsid w:val="002079DE"/>
    <w:rsid w:val="002101EC"/>
    <w:rsid w:val="00211F55"/>
    <w:rsid w:val="0021411D"/>
    <w:rsid w:val="00214449"/>
    <w:rsid w:val="002146C4"/>
    <w:rsid w:val="00214C91"/>
    <w:rsid w:val="002163A3"/>
    <w:rsid w:val="002167E4"/>
    <w:rsid w:val="0021722A"/>
    <w:rsid w:val="00220163"/>
    <w:rsid w:val="00221FCC"/>
    <w:rsid w:val="00222886"/>
    <w:rsid w:val="00223B21"/>
    <w:rsid w:val="00223D02"/>
    <w:rsid w:val="00223F49"/>
    <w:rsid w:val="002250D3"/>
    <w:rsid w:val="002254CC"/>
    <w:rsid w:val="00225A4D"/>
    <w:rsid w:val="00225FF2"/>
    <w:rsid w:val="002261C3"/>
    <w:rsid w:val="002264F5"/>
    <w:rsid w:val="0023250C"/>
    <w:rsid w:val="00234CFA"/>
    <w:rsid w:val="0023522D"/>
    <w:rsid w:val="0023567F"/>
    <w:rsid w:val="002358D3"/>
    <w:rsid w:val="00235EAC"/>
    <w:rsid w:val="00236CA0"/>
    <w:rsid w:val="00237530"/>
    <w:rsid w:val="00237790"/>
    <w:rsid w:val="00242622"/>
    <w:rsid w:val="00243A33"/>
    <w:rsid w:val="0024442C"/>
    <w:rsid w:val="002448CE"/>
    <w:rsid w:val="00245825"/>
    <w:rsid w:val="00246938"/>
    <w:rsid w:val="00246CA3"/>
    <w:rsid w:val="00246E57"/>
    <w:rsid w:val="00246FDE"/>
    <w:rsid w:val="00247FF1"/>
    <w:rsid w:val="00251CB4"/>
    <w:rsid w:val="00252714"/>
    <w:rsid w:val="00254150"/>
    <w:rsid w:val="00254696"/>
    <w:rsid w:val="002546A4"/>
    <w:rsid w:val="00255746"/>
    <w:rsid w:val="00255CA7"/>
    <w:rsid w:val="002562D1"/>
    <w:rsid w:val="00257EEF"/>
    <w:rsid w:val="00260E82"/>
    <w:rsid w:val="00261401"/>
    <w:rsid w:val="00262657"/>
    <w:rsid w:val="00262766"/>
    <w:rsid w:val="0026334E"/>
    <w:rsid w:val="00263484"/>
    <w:rsid w:val="00263542"/>
    <w:rsid w:val="002638A8"/>
    <w:rsid w:val="00263D88"/>
    <w:rsid w:val="00264222"/>
    <w:rsid w:val="00265767"/>
    <w:rsid w:val="00266941"/>
    <w:rsid w:val="002671E4"/>
    <w:rsid w:val="00272978"/>
    <w:rsid w:val="00273EF5"/>
    <w:rsid w:val="0027506A"/>
    <w:rsid w:val="002768E6"/>
    <w:rsid w:val="002801D9"/>
    <w:rsid w:val="00280CA2"/>
    <w:rsid w:val="00280CC7"/>
    <w:rsid w:val="00280D59"/>
    <w:rsid w:val="0028159F"/>
    <w:rsid w:val="00281784"/>
    <w:rsid w:val="00281AFF"/>
    <w:rsid w:val="00282195"/>
    <w:rsid w:val="002827FF"/>
    <w:rsid w:val="0028497F"/>
    <w:rsid w:val="00287B43"/>
    <w:rsid w:val="002900C9"/>
    <w:rsid w:val="002919F8"/>
    <w:rsid w:val="00292715"/>
    <w:rsid w:val="00292B85"/>
    <w:rsid w:val="00295BFC"/>
    <w:rsid w:val="00295F1A"/>
    <w:rsid w:val="00296863"/>
    <w:rsid w:val="00296E24"/>
    <w:rsid w:val="002A1090"/>
    <w:rsid w:val="002A19A6"/>
    <w:rsid w:val="002A25D5"/>
    <w:rsid w:val="002A2885"/>
    <w:rsid w:val="002A38EB"/>
    <w:rsid w:val="002A3A65"/>
    <w:rsid w:val="002A4070"/>
    <w:rsid w:val="002A450E"/>
    <w:rsid w:val="002A516A"/>
    <w:rsid w:val="002A54E4"/>
    <w:rsid w:val="002A5B0F"/>
    <w:rsid w:val="002A6DBD"/>
    <w:rsid w:val="002B0470"/>
    <w:rsid w:val="002B24B0"/>
    <w:rsid w:val="002B3F56"/>
    <w:rsid w:val="002B4241"/>
    <w:rsid w:val="002B71DE"/>
    <w:rsid w:val="002B73F7"/>
    <w:rsid w:val="002B73FF"/>
    <w:rsid w:val="002C0410"/>
    <w:rsid w:val="002C0BDC"/>
    <w:rsid w:val="002C14DD"/>
    <w:rsid w:val="002C2DB0"/>
    <w:rsid w:val="002C50AF"/>
    <w:rsid w:val="002C5CE2"/>
    <w:rsid w:val="002D06A2"/>
    <w:rsid w:val="002D0BE4"/>
    <w:rsid w:val="002D16F2"/>
    <w:rsid w:val="002D4415"/>
    <w:rsid w:val="002D5B8C"/>
    <w:rsid w:val="002D5C45"/>
    <w:rsid w:val="002D5D1F"/>
    <w:rsid w:val="002D64D3"/>
    <w:rsid w:val="002E03FB"/>
    <w:rsid w:val="002E11FA"/>
    <w:rsid w:val="002E15B8"/>
    <w:rsid w:val="002E30FB"/>
    <w:rsid w:val="002E39AE"/>
    <w:rsid w:val="002E3E53"/>
    <w:rsid w:val="002E408F"/>
    <w:rsid w:val="002E55DF"/>
    <w:rsid w:val="002E59A4"/>
    <w:rsid w:val="002E6310"/>
    <w:rsid w:val="002E63F4"/>
    <w:rsid w:val="002E681C"/>
    <w:rsid w:val="002E7317"/>
    <w:rsid w:val="002F039E"/>
    <w:rsid w:val="002F2ABD"/>
    <w:rsid w:val="002F509C"/>
    <w:rsid w:val="003008E6"/>
    <w:rsid w:val="0030118B"/>
    <w:rsid w:val="00302B74"/>
    <w:rsid w:val="00303406"/>
    <w:rsid w:val="003052BD"/>
    <w:rsid w:val="003057A8"/>
    <w:rsid w:val="0030757E"/>
    <w:rsid w:val="00307743"/>
    <w:rsid w:val="003077DB"/>
    <w:rsid w:val="00311831"/>
    <w:rsid w:val="00311EEE"/>
    <w:rsid w:val="0031529A"/>
    <w:rsid w:val="00316997"/>
    <w:rsid w:val="00316FE8"/>
    <w:rsid w:val="00317BEC"/>
    <w:rsid w:val="00322740"/>
    <w:rsid w:val="00322B21"/>
    <w:rsid w:val="00322E9D"/>
    <w:rsid w:val="0032343E"/>
    <w:rsid w:val="003239CF"/>
    <w:rsid w:val="003252B5"/>
    <w:rsid w:val="00325C0E"/>
    <w:rsid w:val="00326617"/>
    <w:rsid w:val="00326AC3"/>
    <w:rsid w:val="00332025"/>
    <w:rsid w:val="00332104"/>
    <w:rsid w:val="003326A6"/>
    <w:rsid w:val="003328E9"/>
    <w:rsid w:val="00332E1A"/>
    <w:rsid w:val="003337C9"/>
    <w:rsid w:val="00333A36"/>
    <w:rsid w:val="00334063"/>
    <w:rsid w:val="00335703"/>
    <w:rsid w:val="003362C9"/>
    <w:rsid w:val="00336FAA"/>
    <w:rsid w:val="0033771C"/>
    <w:rsid w:val="00340CE7"/>
    <w:rsid w:val="00342DA7"/>
    <w:rsid w:val="00342F5D"/>
    <w:rsid w:val="0034364C"/>
    <w:rsid w:val="00343AA8"/>
    <w:rsid w:val="003440E1"/>
    <w:rsid w:val="00344D76"/>
    <w:rsid w:val="00345290"/>
    <w:rsid w:val="00347378"/>
    <w:rsid w:val="00350D69"/>
    <w:rsid w:val="003520EC"/>
    <w:rsid w:val="00353188"/>
    <w:rsid w:val="003538DA"/>
    <w:rsid w:val="00354C6A"/>
    <w:rsid w:val="00354CE4"/>
    <w:rsid w:val="0035560D"/>
    <w:rsid w:val="0035623C"/>
    <w:rsid w:val="00356A18"/>
    <w:rsid w:val="00360CE2"/>
    <w:rsid w:val="0036142D"/>
    <w:rsid w:val="003619EE"/>
    <w:rsid w:val="00361D2B"/>
    <w:rsid w:val="003621C0"/>
    <w:rsid w:val="0036260C"/>
    <w:rsid w:val="00363EC2"/>
    <w:rsid w:val="00364527"/>
    <w:rsid w:val="00364764"/>
    <w:rsid w:val="0036580B"/>
    <w:rsid w:val="003659F4"/>
    <w:rsid w:val="00366BE0"/>
    <w:rsid w:val="00366C24"/>
    <w:rsid w:val="00367692"/>
    <w:rsid w:val="00367939"/>
    <w:rsid w:val="00367BEF"/>
    <w:rsid w:val="00370843"/>
    <w:rsid w:val="00370C0A"/>
    <w:rsid w:val="0037254B"/>
    <w:rsid w:val="00372949"/>
    <w:rsid w:val="00372D2C"/>
    <w:rsid w:val="00372E53"/>
    <w:rsid w:val="00374768"/>
    <w:rsid w:val="0037476D"/>
    <w:rsid w:val="00377227"/>
    <w:rsid w:val="00377F75"/>
    <w:rsid w:val="00381538"/>
    <w:rsid w:val="00381ADC"/>
    <w:rsid w:val="00381BF8"/>
    <w:rsid w:val="00385D39"/>
    <w:rsid w:val="00386F81"/>
    <w:rsid w:val="003872B5"/>
    <w:rsid w:val="003876D2"/>
    <w:rsid w:val="00387749"/>
    <w:rsid w:val="003918C4"/>
    <w:rsid w:val="00391D81"/>
    <w:rsid w:val="00392815"/>
    <w:rsid w:val="0039370E"/>
    <w:rsid w:val="0039684E"/>
    <w:rsid w:val="00397AE5"/>
    <w:rsid w:val="003A0600"/>
    <w:rsid w:val="003A1062"/>
    <w:rsid w:val="003A110D"/>
    <w:rsid w:val="003A48EE"/>
    <w:rsid w:val="003A5595"/>
    <w:rsid w:val="003A5DCB"/>
    <w:rsid w:val="003A67F8"/>
    <w:rsid w:val="003A6E6E"/>
    <w:rsid w:val="003A7A43"/>
    <w:rsid w:val="003B278E"/>
    <w:rsid w:val="003B2A2D"/>
    <w:rsid w:val="003B2D16"/>
    <w:rsid w:val="003B3702"/>
    <w:rsid w:val="003B3D0C"/>
    <w:rsid w:val="003B5144"/>
    <w:rsid w:val="003B589C"/>
    <w:rsid w:val="003B7160"/>
    <w:rsid w:val="003C0748"/>
    <w:rsid w:val="003C0986"/>
    <w:rsid w:val="003C224B"/>
    <w:rsid w:val="003C2D4C"/>
    <w:rsid w:val="003C364C"/>
    <w:rsid w:val="003C3D9A"/>
    <w:rsid w:val="003C3F87"/>
    <w:rsid w:val="003C462F"/>
    <w:rsid w:val="003C49C9"/>
    <w:rsid w:val="003C71D7"/>
    <w:rsid w:val="003D1F0C"/>
    <w:rsid w:val="003D2957"/>
    <w:rsid w:val="003D2DB5"/>
    <w:rsid w:val="003D2E2C"/>
    <w:rsid w:val="003D510B"/>
    <w:rsid w:val="003D6BDD"/>
    <w:rsid w:val="003D6FBD"/>
    <w:rsid w:val="003E01AC"/>
    <w:rsid w:val="003E0362"/>
    <w:rsid w:val="003E0B2C"/>
    <w:rsid w:val="003E2D83"/>
    <w:rsid w:val="003E2E4A"/>
    <w:rsid w:val="003E39D6"/>
    <w:rsid w:val="003E3C82"/>
    <w:rsid w:val="003E462B"/>
    <w:rsid w:val="003E68A2"/>
    <w:rsid w:val="003E7E79"/>
    <w:rsid w:val="003F1005"/>
    <w:rsid w:val="003F1ECF"/>
    <w:rsid w:val="003F288D"/>
    <w:rsid w:val="003F3B6B"/>
    <w:rsid w:val="003F3E22"/>
    <w:rsid w:val="003F57A4"/>
    <w:rsid w:val="003F5978"/>
    <w:rsid w:val="003F5D2B"/>
    <w:rsid w:val="003F6D9C"/>
    <w:rsid w:val="003F736F"/>
    <w:rsid w:val="003F7520"/>
    <w:rsid w:val="00400A23"/>
    <w:rsid w:val="0040105B"/>
    <w:rsid w:val="00401D0A"/>
    <w:rsid w:val="00402BE9"/>
    <w:rsid w:val="00402F69"/>
    <w:rsid w:val="00403889"/>
    <w:rsid w:val="00403E19"/>
    <w:rsid w:val="00403F75"/>
    <w:rsid w:val="004046DC"/>
    <w:rsid w:val="004054E9"/>
    <w:rsid w:val="00406BF0"/>
    <w:rsid w:val="004101A5"/>
    <w:rsid w:val="00411961"/>
    <w:rsid w:val="004154AE"/>
    <w:rsid w:val="00415FFF"/>
    <w:rsid w:val="004201F3"/>
    <w:rsid w:val="00421A44"/>
    <w:rsid w:val="00422B03"/>
    <w:rsid w:val="00422C7E"/>
    <w:rsid w:val="004232E0"/>
    <w:rsid w:val="00423B72"/>
    <w:rsid w:val="00423CB5"/>
    <w:rsid w:val="004248EC"/>
    <w:rsid w:val="004268E3"/>
    <w:rsid w:val="00426BBD"/>
    <w:rsid w:val="00426F0C"/>
    <w:rsid w:val="00430C52"/>
    <w:rsid w:val="00431F8E"/>
    <w:rsid w:val="004338DD"/>
    <w:rsid w:val="0043417B"/>
    <w:rsid w:val="00434C17"/>
    <w:rsid w:val="00435327"/>
    <w:rsid w:val="0043632F"/>
    <w:rsid w:val="0043638D"/>
    <w:rsid w:val="00436570"/>
    <w:rsid w:val="00436DF9"/>
    <w:rsid w:val="004374F4"/>
    <w:rsid w:val="00440239"/>
    <w:rsid w:val="00440291"/>
    <w:rsid w:val="00440728"/>
    <w:rsid w:val="00442A25"/>
    <w:rsid w:val="00444737"/>
    <w:rsid w:val="00445745"/>
    <w:rsid w:val="00445ABA"/>
    <w:rsid w:val="00446B2F"/>
    <w:rsid w:val="00446E58"/>
    <w:rsid w:val="00446FE0"/>
    <w:rsid w:val="0045036C"/>
    <w:rsid w:val="00450845"/>
    <w:rsid w:val="00450E98"/>
    <w:rsid w:val="0045112C"/>
    <w:rsid w:val="00451204"/>
    <w:rsid w:val="00451655"/>
    <w:rsid w:val="00451A75"/>
    <w:rsid w:val="004524B6"/>
    <w:rsid w:val="004534E9"/>
    <w:rsid w:val="00453798"/>
    <w:rsid w:val="004554D2"/>
    <w:rsid w:val="0045575C"/>
    <w:rsid w:val="00455BCA"/>
    <w:rsid w:val="004560A9"/>
    <w:rsid w:val="004601D6"/>
    <w:rsid w:val="00460D31"/>
    <w:rsid w:val="00462285"/>
    <w:rsid w:val="004635D7"/>
    <w:rsid w:val="00463C02"/>
    <w:rsid w:val="0046638C"/>
    <w:rsid w:val="00466C55"/>
    <w:rsid w:val="00467008"/>
    <w:rsid w:val="00470026"/>
    <w:rsid w:val="00470254"/>
    <w:rsid w:val="004710D1"/>
    <w:rsid w:val="00471469"/>
    <w:rsid w:val="00472577"/>
    <w:rsid w:val="004732A5"/>
    <w:rsid w:val="00473418"/>
    <w:rsid w:val="0047423C"/>
    <w:rsid w:val="00476644"/>
    <w:rsid w:val="004802D6"/>
    <w:rsid w:val="00481EAD"/>
    <w:rsid w:val="004827A9"/>
    <w:rsid w:val="00484A3C"/>
    <w:rsid w:val="00484AC6"/>
    <w:rsid w:val="00487028"/>
    <w:rsid w:val="0048755B"/>
    <w:rsid w:val="00491BF7"/>
    <w:rsid w:val="004927B2"/>
    <w:rsid w:val="004932A8"/>
    <w:rsid w:val="0049339C"/>
    <w:rsid w:val="00493C6D"/>
    <w:rsid w:val="00494538"/>
    <w:rsid w:val="0049592A"/>
    <w:rsid w:val="00495BC9"/>
    <w:rsid w:val="004A0AD9"/>
    <w:rsid w:val="004A2F08"/>
    <w:rsid w:val="004A3BDA"/>
    <w:rsid w:val="004A63AB"/>
    <w:rsid w:val="004A7CA6"/>
    <w:rsid w:val="004B17D0"/>
    <w:rsid w:val="004B1891"/>
    <w:rsid w:val="004B2EF0"/>
    <w:rsid w:val="004B5895"/>
    <w:rsid w:val="004B59D0"/>
    <w:rsid w:val="004C091A"/>
    <w:rsid w:val="004C0D4F"/>
    <w:rsid w:val="004C1BAA"/>
    <w:rsid w:val="004C2F81"/>
    <w:rsid w:val="004C43E2"/>
    <w:rsid w:val="004C4422"/>
    <w:rsid w:val="004C4B4E"/>
    <w:rsid w:val="004C5FB9"/>
    <w:rsid w:val="004C60E9"/>
    <w:rsid w:val="004C748C"/>
    <w:rsid w:val="004D108C"/>
    <w:rsid w:val="004D1530"/>
    <w:rsid w:val="004D1585"/>
    <w:rsid w:val="004D233E"/>
    <w:rsid w:val="004D279F"/>
    <w:rsid w:val="004D2815"/>
    <w:rsid w:val="004D2C72"/>
    <w:rsid w:val="004D4679"/>
    <w:rsid w:val="004D4A84"/>
    <w:rsid w:val="004D5651"/>
    <w:rsid w:val="004D642C"/>
    <w:rsid w:val="004D67FB"/>
    <w:rsid w:val="004D6FAA"/>
    <w:rsid w:val="004D729D"/>
    <w:rsid w:val="004E0F05"/>
    <w:rsid w:val="004E1655"/>
    <w:rsid w:val="004E3B30"/>
    <w:rsid w:val="004E3D4D"/>
    <w:rsid w:val="004E5F61"/>
    <w:rsid w:val="004E68DB"/>
    <w:rsid w:val="004E6907"/>
    <w:rsid w:val="004E7269"/>
    <w:rsid w:val="004F1EAF"/>
    <w:rsid w:val="004F5198"/>
    <w:rsid w:val="004F54AC"/>
    <w:rsid w:val="004F59AB"/>
    <w:rsid w:val="004F63FD"/>
    <w:rsid w:val="004F6B61"/>
    <w:rsid w:val="00502810"/>
    <w:rsid w:val="00502FE4"/>
    <w:rsid w:val="00503104"/>
    <w:rsid w:val="00503345"/>
    <w:rsid w:val="0050363C"/>
    <w:rsid w:val="00504CD2"/>
    <w:rsid w:val="005056A5"/>
    <w:rsid w:val="00506F6B"/>
    <w:rsid w:val="00507D2E"/>
    <w:rsid w:val="00507DBB"/>
    <w:rsid w:val="0051115A"/>
    <w:rsid w:val="00511B7F"/>
    <w:rsid w:val="00512BA8"/>
    <w:rsid w:val="00512FCD"/>
    <w:rsid w:val="00513595"/>
    <w:rsid w:val="005152B1"/>
    <w:rsid w:val="00517697"/>
    <w:rsid w:val="00520026"/>
    <w:rsid w:val="005220E3"/>
    <w:rsid w:val="00522833"/>
    <w:rsid w:val="00522B85"/>
    <w:rsid w:val="0052309F"/>
    <w:rsid w:val="00523EF5"/>
    <w:rsid w:val="005250A7"/>
    <w:rsid w:val="00526833"/>
    <w:rsid w:val="00526E1D"/>
    <w:rsid w:val="005305A0"/>
    <w:rsid w:val="0053134B"/>
    <w:rsid w:val="005322E0"/>
    <w:rsid w:val="005324DF"/>
    <w:rsid w:val="00532A60"/>
    <w:rsid w:val="00532C2C"/>
    <w:rsid w:val="005330EF"/>
    <w:rsid w:val="005333E8"/>
    <w:rsid w:val="00534A3A"/>
    <w:rsid w:val="00534BE3"/>
    <w:rsid w:val="0054130D"/>
    <w:rsid w:val="00541765"/>
    <w:rsid w:val="00541CA0"/>
    <w:rsid w:val="005426D8"/>
    <w:rsid w:val="0054550C"/>
    <w:rsid w:val="00546722"/>
    <w:rsid w:val="00546F2B"/>
    <w:rsid w:val="0054745D"/>
    <w:rsid w:val="00547841"/>
    <w:rsid w:val="00552410"/>
    <w:rsid w:val="00552AEE"/>
    <w:rsid w:val="00553C14"/>
    <w:rsid w:val="005548F3"/>
    <w:rsid w:val="005550CF"/>
    <w:rsid w:val="0055591B"/>
    <w:rsid w:val="0055708E"/>
    <w:rsid w:val="00557747"/>
    <w:rsid w:val="005604F2"/>
    <w:rsid w:val="005624E0"/>
    <w:rsid w:val="005649A6"/>
    <w:rsid w:val="00564E26"/>
    <w:rsid w:val="00565A7F"/>
    <w:rsid w:val="00565C10"/>
    <w:rsid w:val="0056633B"/>
    <w:rsid w:val="00566D6D"/>
    <w:rsid w:val="005676B8"/>
    <w:rsid w:val="00570EBA"/>
    <w:rsid w:val="00570EEB"/>
    <w:rsid w:val="00571FB9"/>
    <w:rsid w:val="00574022"/>
    <w:rsid w:val="0057441B"/>
    <w:rsid w:val="00574EEF"/>
    <w:rsid w:val="00575A6B"/>
    <w:rsid w:val="00576A52"/>
    <w:rsid w:val="00577CC4"/>
    <w:rsid w:val="00577F7A"/>
    <w:rsid w:val="0058004F"/>
    <w:rsid w:val="00582204"/>
    <w:rsid w:val="005856C2"/>
    <w:rsid w:val="00585B15"/>
    <w:rsid w:val="00585CE9"/>
    <w:rsid w:val="005861DC"/>
    <w:rsid w:val="00586F06"/>
    <w:rsid w:val="00587844"/>
    <w:rsid w:val="005910B9"/>
    <w:rsid w:val="00592022"/>
    <w:rsid w:val="0059221D"/>
    <w:rsid w:val="00592C33"/>
    <w:rsid w:val="0059404E"/>
    <w:rsid w:val="005947AD"/>
    <w:rsid w:val="00596179"/>
    <w:rsid w:val="00596BC7"/>
    <w:rsid w:val="005973E1"/>
    <w:rsid w:val="00597752"/>
    <w:rsid w:val="00597817"/>
    <w:rsid w:val="005A1A86"/>
    <w:rsid w:val="005A1FDB"/>
    <w:rsid w:val="005A28F4"/>
    <w:rsid w:val="005A3453"/>
    <w:rsid w:val="005A34B7"/>
    <w:rsid w:val="005A3CB2"/>
    <w:rsid w:val="005A63F9"/>
    <w:rsid w:val="005A67C1"/>
    <w:rsid w:val="005A7061"/>
    <w:rsid w:val="005A72F1"/>
    <w:rsid w:val="005A75ED"/>
    <w:rsid w:val="005B1853"/>
    <w:rsid w:val="005B1A6B"/>
    <w:rsid w:val="005B380E"/>
    <w:rsid w:val="005B3AD8"/>
    <w:rsid w:val="005B6A2D"/>
    <w:rsid w:val="005B6F6A"/>
    <w:rsid w:val="005B714D"/>
    <w:rsid w:val="005B762A"/>
    <w:rsid w:val="005B764F"/>
    <w:rsid w:val="005C0270"/>
    <w:rsid w:val="005C0F8B"/>
    <w:rsid w:val="005C1B47"/>
    <w:rsid w:val="005C1BC6"/>
    <w:rsid w:val="005C27AA"/>
    <w:rsid w:val="005C3AE0"/>
    <w:rsid w:val="005C3CBE"/>
    <w:rsid w:val="005C47B8"/>
    <w:rsid w:val="005C5498"/>
    <w:rsid w:val="005C5718"/>
    <w:rsid w:val="005C5E57"/>
    <w:rsid w:val="005C68E5"/>
    <w:rsid w:val="005C6E1A"/>
    <w:rsid w:val="005C6E9E"/>
    <w:rsid w:val="005D0BD8"/>
    <w:rsid w:val="005D17C7"/>
    <w:rsid w:val="005D201D"/>
    <w:rsid w:val="005D22A7"/>
    <w:rsid w:val="005D27EA"/>
    <w:rsid w:val="005D300C"/>
    <w:rsid w:val="005D7863"/>
    <w:rsid w:val="005D7906"/>
    <w:rsid w:val="005E14E9"/>
    <w:rsid w:val="005E32EC"/>
    <w:rsid w:val="005E333C"/>
    <w:rsid w:val="005E33C7"/>
    <w:rsid w:val="005E37F5"/>
    <w:rsid w:val="005E4CD3"/>
    <w:rsid w:val="005E4D77"/>
    <w:rsid w:val="005E5EE8"/>
    <w:rsid w:val="005E61E2"/>
    <w:rsid w:val="005E65EB"/>
    <w:rsid w:val="005E66CD"/>
    <w:rsid w:val="005E7E1D"/>
    <w:rsid w:val="005F00D4"/>
    <w:rsid w:val="005F11A3"/>
    <w:rsid w:val="005F1B03"/>
    <w:rsid w:val="005F24F0"/>
    <w:rsid w:val="005F2BE6"/>
    <w:rsid w:val="005F3C38"/>
    <w:rsid w:val="005F49D3"/>
    <w:rsid w:val="005F4B38"/>
    <w:rsid w:val="005F536D"/>
    <w:rsid w:val="00603A11"/>
    <w:rsid w:val="00603D83"/>
    <w:rsid w:val="00604027"/>
    <w:rsid w:val="00604253"/>
    <w:rsid w:val="00604453"/>
    <w:rsid w:val="00604C18"/>
    <w:rsid w:val="00605485"/>
    <w:rsid w:val="00605DE2"/>
    <w:rsid w:val="00606815"/>
    <w:rsid w:val="0060685B"/>
    <w:rsid w:val="00611938"/>
    <w:rsid w:val="0061280B"/>
    <w:rsid w:val="006139A9"/>
    <w:rsid w:val="006143C7"/>
    <w:rsid w:val="00620D00"/>
    <w:rsid w:val="00621B37"/>
    <w:rsid w:val="006237E4"/>
    <w:rsid w:val="00627013"/>
    <w:rsid w:val="0062742D"/>
    <w:rsid w:val="00627636"/>
    <w:rsid w:val="0063024C"/>
    <w:rsid w:val="00630593"/>
    <w:rsid w:val="00630B8F"/>
    <w:rsid w:val="00632514"/>
    <w:rsid w:val="00632A62"/>
    <w:rsid w:val="00632C59"/>
    <w:rsid w:val="00632F6B"/>
    <w:rsid w:val="006361C8"/>
    <w:rsid w:val="00636991"/>
    <w:rsid w:val="00637B76"/>
    <w:rsid w:val="00640572"/>
    <w:rsid w:val="00640CB4"/>
    <w:rsid w:val="00640EDE"/>
    <w:rsid w:val="00642F0F"/>
    <w:rsid w:val="00644059"/>
    <w:rsid w:val="00644085"/>
    <w:rsid w:val="006454F5"/>
    <w:rsid w:val="00645EA6"/>
    <w:rsid w:val="006461E1"/>
    <w:rsid w:val="006464BC"/>
    <w:rsid w:val="006467DA"/>
    <w:rsid w:val="0064689C"/>
    <w:rsid w:val="00646E6A"/>
    <w:rsid w:val="00647A6C"/>
    <w:rsid w:val="00647B68"/>
    <w:rsid w:val="0065028B"/>
    <w:rsid w:val="006509DD"/>
    <w:rsid w:val="006525BC"/>
    <w:rsid w:val="006544BB"/>
    <w:rsid w:val="00656ACA"/>
    <w:rsid w:val="006571EB"/>
    <w:rsid w:val="0066013A"/>
    <w:rsid w:val="0066157D"/>
    <w:rsid w:val="006615AB"/>
    <w:rsid w:val="00661BD2"/>
    <w:rsid w:val="00662F04"/>
    <w:rsid w:val="00663305"/>
    <w:rsid w:val="00663FF8"/>
    <w:rsid w:val="0066486A"/>
    <w:rsid w:val="0066581B"/>
    <w:rsid w:val="006704CA"/>
    <w:rsid w:val="00670A5C"/>
    <w:rsid w:val="00671FE7"/>
    <w:rsid w:val="00673A40"/>
    <w:rsid w:val="00673D8E"/>
    <w:rsid w:val="006762B4"/>
    <w:rsid w:val="00676E81"/>
    <w:rsid w:val="006774E9"/>
    <w:rsid w:val="0067779F"/>
    <w:rsid w:val="00677CD9"/>
    <w:rsid w:val="006805E3"/>
    <w:rsid w:val="00680A04"/>
    <w:rsid w:val="00681753"/>
    <w:rsid w:val="00681798"/>
    <w:rsid w:val="00681877"/>
    <w:rsid w:val="00683118"/>
    <w:rsid w:val="006841EE"/>
    <w:rsid w:val="00685037"/>
    <w:rsid w:val="00685BD2"/>
    <w:rsid w:val="00687DDF"/>
    <w:rsid w:val="00690377"/>
    <w:rsid w:val="00690761"/>
    <w:rsid w:val="0069155A"/>
    <w:rsid w:val="00692769"/>
    <w:rsid w:val="00695C82"/>
    <w:rsid w:val="006966E2"/>
    <w:rsid w:val="006A09DD"/>
    <w:rsid w:val="006A0A4A"/>
    <w:rsid w:val="006A0B59"/>
    <w:rsid w:val="006A368D"/>
    <w:rsid w:val="006A4B76"/>
    <w:rsid w:val="006A4CF6"/>
    <w:rsid w:val="006A5BC7"/>
    <w:rsid w:val="006B0C4F"/>
    <w:rsid w:val="006B1102"/>
    <w:rsid w:val="006B1116"/>
    <w:rsid w:val="006B2155"/>
    <w:rsid w:val="006B32F5"/>
    <w:rsid w:val="006B3E3A"/>
    <w:rsid w:val="006B573A"/>
    <w:rsid w:val="006B5B8F"/>
    <w:rsid w:val="006B67BB"/>
    <w:rsid w:val="006B69A7"/>
    <w:rsid w:val="006C01B5"/>
    <w:rsid w:val="006C1179"/>
    <w:rsid w:val="006C177D"/>
    <w:rsid w:val="006C1786"/>
    <w:rsid w:val="006C17A1"/>
    <w:rsid w:val="006C1F76"/>
    <w:rsid w:val="006C24EC"/>
    <w:rsid w:val="006C362F"/>
    <w:rsid w:val="006C3F2A"/>
    <w:rsid w:val="006C4CE4"/>
    <w:rsid w:val="006C54FF"/>
    <w:rsid w:val="006D238C"/>
    <w:rsid w:val="006D2C81"/>
    <w:rsid w:val="006D4DA9"/>
    <w:rsid w:val="006D60BC"/>
    <w:rsid w:val="006D7449"/>
    <w:rsid w:val="006D7C00"/>
    <w:rsid w:val="006E1D96"/>
    <w:rsid w:val="006E2C05"/>
    <w:rsid w:val="006E3251"/>
    <w:rsid w:val="006E46FC"/>
    <w:rsid w:val="006E6555"/>
    <w:rsid w:val="006F05B8"/>
    <w:rsid w:val="006F09E2"/>
    <w:rsid w:val="006F1F6F"/>
    <w:rsid w:val="006F2F3A"/>
    <w:rsid w:val="006F3EEA"/>
    <w:rsid w:val="006F47EB"/>
    <w:rsid w:val="006F59AA"/>
    <w:rsid w:val="006F6687"/>
    <w:rsid w:val="006F74D4"/>
    <w:rsid w:val="00700B11"/>
    <w:rsid w:val="00701756"/>
    <w:rsid w:val="007023D5"/>
    <w:rsid w:val="007058CC"/>
    <w:rsid w:val="007075F3"/>
    <w:rsid w:val="00707638"/>
    <w:rsid w:val="00707C9F"/>
    <w:rsid w:val="00707CCD"/>
    <w:rsid w:val="0071070D"/>
    <w:rsid w:val="0071088A"/>
    <w:rsid w:val="00711277"/>
    <w:rsid w:val="007128C3"/>
    <w:rsid w:val="007128CB"/>
    <w:rsid w:val="007139B6"/>
    <w:rsid w:val="00713A61"/>
    <w:rsid w:val="0071430A"/>
    <w:rsid w:val="007148E4"/>
    <w:rsid w:val="00715D3E"/>
    <w:rsid w:val="00716840"/>
    <w:rsid w:val="007178E6"/>
    <w:rsid w:val="0072662F"/>
    <w:rsid w:val="00727FA1"/>
    <w:rsid w:val="00727FAA"/>
    <w:rsid w:val="007317E9"/>
    <w:rsid w:val="00735B38"/>
    <w:rsid w:val="00736323"/>
    <w:rsid w:val="00736753"/>
    <w:rsid w:val="00740529"/>
    <w:rsid w:val="00744873"/>
    <w:rsid w:val="00746020"/>
    <w:rsid w:val="00747888"/>
    <w:rsid w:val="007505AA"/>
    <w:rsid w:val="0075237D"/>
    <w:rsid w:val="00753CBF"/>
    <w:rsid w:val="0075534D"/>
    <w:rsid w:val="007559A6"/>
    <w:rsid w:val="00756542"/>
    <w:rsid w:val="00756F09"/>
    <w:rsid w:val="007576D6"/>
    <w:rsid w:val="0075799E"/>
    <w:rsid w:val="0076014C"/>
    <w:rsid w:val="007602CA"/>
    <w:rsid w:val="00760534"/>
    <w:rsid w:val="00760566"/>
    <w:rsid w:val="00761AB4"/>
    <w:rsid w:val="00761AC8"/>
    <w:rsid w:val="00762959"/>
    <w:rsid w:val="0077069E"/>
    <w:rsid w:val="0077152A"/>
    <w:rsid w:val="00771753"/>
    <w:rsid w:val="00772368"/>
    <w:rsid w:val="00773309"/>
    <w:rsid w:val="0077367E"/>
    <w:rsid w:val="007739F5"/>
    <w:rsid w:val="00774F4D"/>
    <w:rsid w:val="007751FE"/>
    <w:rsid w:val="007759B2"/>
    <w:rsid w:val="00775D7F"/>
    <w:rsid w:val="00775DD8"/>
    <w:rsid w:val="007771B0"/>
    <w:rsid w:val="007774AA"/>
    <w:rsid w:val="00782EC6"/>
    <w:rsid w:val="00783437"/>
    <w:rsid w:val="00784119"/>
    <w:rsid w:val="007846BA"/>
    <w:rsid w:val="007853AF"/>
    <w:rsid w:val="007858B5"/>
    <w:rsid w:val="00786681"/>
    <w:rsid w:val="007866A1"/>
    <w:rsid w:val="007869EB"/>
    <w:rsid w:val="00786D8D"/>
    <w:rsid w:val="0078794E"/>
    <w:rsid w:val="00787AC2"/>
    <w:rsid w:val="00787C31"/>
    <w:rsid w:val="00791BBE"/>
    <w:rsid w:val="00791FB9"/>
    <w:rsid w:val="0079210A"/>
    <w:rsid w:val="007926C4"/>
    <w:rsid w:val="00793CF3"/>
    <w:rsid w:val="00794CFE"/>
    <w:rsid w:val="0079603E"/>
    <w:rsid w:val="007A4089"/>
    <w:rsid w:val="007A476E"/>
    <w:rsid w:val="007A493A"/>
    <w:rsid w:val="007A4A24"/>
    <w:rsid w:val="007A4E8F"/>
    <w:rsid w:val="007A52E6"/>
    <w:rsid w:val="007A7A63"/>
    <w:rsid w:val="007A7B4E"/>
    <w:rsid w:val="007A7BD1"/>
    <w:rsid w:val="007B2577"/>
    <w:rsid w:val="007B322A"/>
    <w:rsid w:val="007B4053"/>
    <w:rsid w:val="007B44E4"/>
    <w:rsid w:val="007B4664"/>
    <w:rsid w:val="007B56D4"/>
    <w:rsid w:val="007B63A0"/>
    <w:rsid w:val="007B683C"/>
    <w:rsid w:val="007B6F11"/>
    <w:rsid w:val="007B7826"/>
    <w:rsid w:val="007C0D41"/>
    <w:rsid w:val="007C138F"/>
    <w:rsid w:val="007C2F3C"/>
    <w:rsid w:val="007C48DF"/>
    <w:rsid w:val="007C60E3"/>
    <w:rsid w:val="007C6BE6"/>
    <w:rsid w:val="007C756A"/>
    <w:rsid w:val="007D0FBE"/>
    <w:rsid w:val="007D1A8F"/>
    <w:rsid w:val="007D2F5A"/>
    <w:rsid w:val="007D324E"/>
    <w:rsid w:val="007D349E"/>
    <w:rsid w:val="007D48D5"/>
    <w:rsid w:val="007D546A"/>
    <w:rsid w:val="007D6607"/>
    <w:rsid w:val="007E0A77"/>
    <w:rsid w:val="007E1008"/>
    <w:rsid w:val="007E1A1E"/>
    <w:rsid w:val="007E2619"/>
    <w:rsid w:val="007E4DAE"/>
    <w:rsid w:val="007E508B"/>
    <w:rsid w:val="007E5572"/>
    <w:rsid w:val="007E5FD2"/>
    <w:rsid w:val="007E6030"/>
    <w:rsid w:val="007E6F9C"/>
    <w:rsid w:val="007E770F"/>
    <w:rsid w:val="007E7C0B"/>
    <w:rsid w:val="007F04F4"/>
    <w:rsid w:val="007F0A12"/>
    <w:rsid w:val="007F30B0"/>
    <w:rsid w:val="007F399B"/>
    <w:rsid w:val="007F3EA0"/>
    <w:rsid w:val="007F5344"/>
    <w:rsid w:val="007F586D"/>
    <w:rsid w:val="007F66E7"/>
    <w:rsid w:val="007F6C9C"/>
    <w:rsid w:val="0080095C"/>
    <w:rsid w:val="00801839"/>
    <w:rsid w:val="00801FA1"/>
    <w:rsid w:val="008047B6"/>
    <w:rsid w:val="00804FBD"/>
    <w:rsid w:val="00804FED"/>
    <w:rsid w:val="008055AA"/>
    <w:rsid w:val="008068F0"/>
    <w:rsid w:val="00807743"/>
    <w:rsid w:val="00811605"/>
    <w:rsid w:val="00812D77"/>
    <w:rsid w:val="00813126"/>
    <w:rsid w:val="008132ED"/>
    <w:rsid w:val="00813CB0"/>
    <w:rsid w:val="008149E0"/>
    <w:rsid w:val="00814C27"/>
    <w:rsid w:val="008157B6"/>
    <w:rsid w:val="00815B6E"/>
    <w:rsid w:val="00816ADB"/>
    <w:rsid w:val="008178F1"/>
    <w:rsid w:val="00820045"/>
    <w:rsid w:val="00820A9F"/>
    <w:rsid w:val="008212A3"/>
    <w:rsid w:val="0082435F"/>
    <w:rsid w:val="008250BC"/>
    <w:rsid w:val="00825208"/>
    <w:rsid w:val="008252DB"/>
    <w:rsid w:val="00826282"/>
    <w:rsid w:val="00826FB2"/>
    <w:rsid w:val="00831DA2"/>
    <w:rsid w:val="0083323C"/>
    <w:rsid w:val="00834A71"/>
    <w:rsid w:val="00834D04"/>
    <w:rsid w:val="008358CA"/>
    <w:rsid w:val="00835C23"/>
    <w:rsid w:val="008365D5"/>
    <w:rsid w:val="0083788E"/>
    <w:rsid w:val="00840244"/>
    <w:rsid w:val="00841E70"/>
    <w:rsid w:val="008425BA"/>
    <w:rsid w:val="008468DA"/>
    <w:rsid w:val="00847265"/>
    <w:rsid w:val="008475BA"/>
    <w:rsid w:val="00847DA2"/>
    <w:rsid w:val="00850249"/>
    <w:rsid w:val="00850AC9"/>
    <w:rsid w:val="008518DD"/>
    <w:rsid w:val="00851C59"/>
    <w:rsid w:val="008524A4"/>
    <w:rsid w:val="00852B74"/>
    <w:rsid w:val="00853362"/>
    <w:rsid w:val="00854059"/>
    <w:rsid w:val="00854808"/>
    <w:rsid w:val="008557F2"/>
    <w:rsid w:val="008568A7"/>
    <w:rsid w:val="0085729E"/>
    <w:rsid w:val="00860519"/>
    <w:rsid w:val="00860701"/>
    <w:rsid w:val="00860767"/>
    <w:rsid w:val="00860C34"/>
    <w:rsid w:val="008613A5"/>
    <w:rsid w:val="008630D6"/>
    <w:rsid w:val="00863F0D"/>
    <w:rsid w:val="00864520"/>
    <w:rsid w:val="00865C80"/>
    <w:rsid w:val="00870C01"/>
    <w:rsid w:val="008734CF"/>
    <w:rsid w:val="00873BAA"/>
    <w:rsid w:val="00874F4B"/>
    <w:rsid w:val="00877303"/>
    <w:rsid w:val="0088001A"/>
    <w:rsid w:val="008819ED"/>
    <w:rsid w:val="008838FA"/>
    <w:rsid w:val="00883C69"/>
    <w:rsid w:val="00884053"/>
    <w:rsid w:val="00885931"/>
    <w:rsid w:val="00886EC1"/>
    <w:rsid w:val="00887B51"/>
    <w:rsid w:val="00891C49"/>
    <w:rsid w:val="0089217E"/>
    <w:rsid w:val="0089220F"/>
    <w:rsid w:val="00892B90"/>
    <w:rsid w:val="00894B46"/>
    <w:rsid w:val="00894C8F"/>
    <w:rsid w:val="00894DA4"/>
    <w:rsid w:val="0089630A"/>
    <w:rsid w:val="00896404"/>
    <w:rsid w:val="00897E53"/>
    <w:rsid w:val="008A0A4D"/>
    <w:rsid w:val="008A2091"/>
    <w:rsid w:val="008A2225"/>
    <w:rsid w:val="008A2B6A"/>
    <w:rsid w:val="008A3C75"/>
    <w:rsid w:val="008A5A37"/>
    <w:rsid w:val="008A6C78"/>
    <w:rsid w:val="008A6FE5"/>
    <w:rsid w:val="008A741E"/>
    <w:rsid w:val="008A7A64"/>
    <w:rsid w:val="008A7DDA"/>
    <w:rsid w:val="008B0458"/>
    <w:rsid w:val="008B1A97"/>
    <w:rsid w:val="008B327C"/>
    <w:rsid w:val="008B334C"/>
    <w:rsid w:val="008B3535"/>
    <w:rsid w:val="008B4776"/>
    <w:rsid w:val="008B5441"/>
    <w:rsid w:val="008B6251"/>
    <w:rsid w:val="008B79B8"/>
    <w:rsid w:val="008C093E"/>
    <w:rsid w:val="008C203B"/>
    <w:rsid w:val="008C210A"/>
    <w:rsid w:val="008C2D8B"/>
    <w:rsid w:val="008C3735"/>
    <w:rsid w:val="008C37DC"/>
    <w:rsid w:val="008C3833"/>
    <w:rsid w:val="008C4A14"/>
    <w:rsid w:val="008C4D5C"/>
    <w:rsid w:val="008C521F"/>
    <w:rsid w:val="008C5892"/>
    <w:rsid w:val="008C5E5D"/>
    <w:rsid w:val="008C5F5D"/>
    <w:rsid w:val="008D04E7"/>
    <w:rsid w:val="008D1D12"/>
    <w:rsid w:val="008D1EEF"/>
    <w:rsid w:val="008D26F2"/>
    <w:rsid w:val="008D297D"/>
    <w:rsid w:val="008D3F1A"/>
    <w:rsid w:val="008D4162"/>
    <w:rsid w:val="008D59CA"/>
    <w:rsid w:val="008D64E6"/>
    <w:rsid w:val="008D76AA"/>
    <w:rsid w:val="008E1CAC"/>
    <w:rsid w:val="008E1E8E"/>
    <w:rsid w:val="008E1FA9"/>
    <w:rsid w:val="008E210D"/>
    <w:rsid w:val="008E5B92"/>
    <w:rsid w:val="008E5FBD"/>
    <w:rsid w:val="008E672C"/>
    <w:rsid w:val="008E721B"/>
    <w:rsid w:val="008F0D30"/>
    <w:rsid w:val="008F0F00"/>
    <w:rsid w:val="008F115F"/>
    <w:rsid w:val="008F1482"/>
    <w:rsid w:val="008F1820"/>
    <w:rsid w:val="008F5ACA"/>
    <w:rsid w:val="008F7FC9"/>
    <w:rsid w:val="009000C8"/>
    <w:rsid w:val="00900C80"/>
    <w:rsid w:val="00901FAA"/>
    <w:rsid w:val="009048A4"/>
    <w:rsid w:val="00904913"/>
    <w:rsid w:val="00904A2E"/>
    <w:rsid w:val="00904CBD"/>
    <w:rsid w:val="009055F8"/>
    <w:rsid w:val="00905A28"/>
    <w:rsid w:val="00905CBD"/>
    <w:rsid w:val="00910F2D"/>
    <w:rsid w:val="009133BA"/>
    <w:rsid w:val="0091348D"/>
    <w:rsid w:val="00913A57"/>
    <w:rsid w:val="00914270"/>
    <w:rsid w:val="009149A2"/>
    <w:rsid w:val="00914F7E"/>
    <w:rsid w:val="009154EC"/>
    <w:rsid w:val="0091589B"/>
    <w:rsid w:val="009161F6"/>
    <w:rsid w:val="009167E0"/>
    <w:rsid w:val="00917E19"/>
    <w:rsid w:val="009202F4"/>
    <w:rsid w:val="00920718"/>
    <w:rsid w:val="00920E5A"/>
    <w:rsid w:val="009211DE"/>
    <w:rsid w:val="00921C30"/>
    <w:rsid w:val="00923699"/>
    <w:rsid w:val="0092420E"/>
    <w:rsid w:val="009309CA"/>
    <w:rsid w:val="00932148"/>
    <w:rsid w:val="00932F70"/>
    <w:rsid w:val="00933B14"/>
    <w:rsid w:val="00933C7B"/>
    <w:rsid w:val="0093413B"/>
    <w:rsid w:val="00934BC0"/>
    <w:rsid w:val="00936DF9"/>
    <w:rsid w:val="0093768C"/>
    <w:rsid w:val="00937FAF"/>
    <w:rsid w:val="00941378"/>
    <w:rsid w:val="0094256D"/>
    <w:rsid w:val="009431D9"/>
    <w:rsid w:val="0094324D"/>
    <w:rsid w:val="00944D0D"/>
    <w:rsid w:val="009455A3"/>
    <w:rsid w:val="009459EA"/>
    <w:rsid w:val="00945A5C"/>
    <w:rsid w:val="00946B13"/>
    <w:rsid w:val="00947A8A"/>
    <w:rsid w:val="00950079"/>
    <w:rsid w:val="009513A4"/>
    <w:rsid w:val="00951D1B"/>
    <w:rsid w:val="00952817"/>
    <w:rsid w:val="00953674"/>
    <w:rsid w:val="00953A05"/>
    <w:rsid w:val="00953C6F"/>
    <w:rsid w:val="0095451A"/>
    <w:rsid w:val="009547B8"/>
    <w:rsid w:val="0095535F"/>
    <w:rsid w:val="009563EF"/>
    <w:rsid w:val="009570BB"/>
    <w:rsid w:val="009571E5"/>
    <w:rsid w:val="0095750D"/>
    <w:rsid w:val="00957659"/>
    <w:rsid w:val="00957753"/>
    <w:rsid w:val="0096018E"/>
    <w:rsid w:val="00960C90"/>
    <w:rsid w:val="00962170"/>
    <w:rsid w:val="00962759"/>
    <w:rsid w:val="00963004"/>
    <w:rsid w:val="009630BD"/>
    <w:rsid w:val="00964174"/>
    <w:rsid w:val="00964AA0"/>
    <w:rsid w:val="0096757D"/>
    <w:rsid w:val="009717B4"/>
    <w:rsid w:val="00973434"/>
    <w:rsid w:val="0097372E"/>
    <w:rsid w:val="00975F17"/>
    <w:rsid w:val="00976754"/>
    <w:rsid w:val="009777BC"/>
    <w:rsid w:val="00981282"/>
    <w:rsid w:val="009817F2"/>
    <w:rsid w:val="00981E12"/>
    <w:rsid w:val="00982ACE"/>
    <w:rsid w:val="009837CA"/>
    <w:rsid w:val="00983F44"/>
    <w:rsid w:val="0098514A"/>
    <w:rsid w:val="00985D62"/>
    <w:rsid w:val="00986536"/>
    <w:rsid w:val="00986C95"/>
    <w:rsid w:val="009876E7"/>
    <w:rsid w:val="0099209A"/>
    <w:rsid w:val="00992930"/>
    <w:rsid w:val="00993B81"/>
    <w:rsid w:val="009948DC"/>
    <w:rsid w:val="00994EFF"/>
    <w:rsid w:val="0099546A"/>
    <w:rsid w:val="00995AA1"/>
    <w:rsid w:val="00995E42"/>
    <w:rsid w:val="00997E6B"/>
    <w:rsid w:val="009A055C"/>
    <w:rsid w:val="009A0A1B"/>
    <w:rsid w:val="009A0FD4"/>
    <w:rsid w:val="009A2449"/>
    <w:rsid w:val="009A2BF4"/>
    <w:rsid w:val="009A2EAC"/>
    <w:rsid w:val="009A4359"/>
    <w:rsid w:val="009A571B"/>
    <w:rsid w:val="009A5A95"/>
    <w:rsid w:val="009A5D80"/>
    <w:rsid w:val="009A67DC"/>
    <w:rsid w:val="009B287C"/>
    <w:rsid w:val="009B338C"/>
    <w:rsid w:val="009B3EC1"/>
    <w:rsid w:val="009B4565"/>
    <w:rsid w:val="009B4B58"/>
    <w:rsid w:val="009B4E51"/>
    <w:rsid w:val="009B5187"/>
    <w:rsid w:val="009B5C7A"/>
    <w:rsid w:val="009C08BC"/>
    <w:rsid w:val="009C2043"/>
    <w:rsid w:val="009C2EB6"/>
    <w:rsid w:val="009C310A"/>
    <w:rsid w:val="009C34BD"/>
    <w:rsid w:val="009C36F0"/>
    <w:rsid w:val="009C6302"/>
    <w:rsid w:val="009C6436"/>
    <w:rsid w:val="009C6587"/>
    <w:rsid w:val="009C68BF"/>
    <w:rsid w:val="009C6C9F"/>
    <w:rsid w:val="009D298D"/>
    <w:rsid w:val="009D4BA3"/>
    <w:rsid w:val="009D4C9A"/>
    <w:rsid w:val="009D66A4"/>
    <w:rsid w:val="009D6B09"/>
    <w:rsid w:val="009D6F62"/>
    <w:rsid w:val="009D7394"/>
    <w:rsid w:val="009E0BAD"/>
    <w:rsid w:val="009E0DAD"/>
    <w:rsid w:val="009E37AA"/>
    <w:rsid w:val="009E50CB"/>
    <w:rsid w:val="009E5413"/>
    <w:rsid w:val="009E6186"/>
    <w:rsid w:val="009E6BAC"/>
    <w:rsid w:val="009E7626"/>
    <w:rsid w:val="009F03CD"/>
    <w:rsid w:val="009F0C35"/>
    <w:rsid w:val="009F2AB1"/>
    <w:rsid w:val="009F3A70"/>
    <w:rsid w:val="009F4586"/>
    <w:rsid w:val="009F5294"/>
    <w:rsid w:val="009F5444"/>
    <w:rsid w:val="009F57E3"/>
    <w:rsid w:val="009F5EC9"/>
    <w:rsid w:val="009F76A4"/>
    <w:rsid w:val="00A0139D"/>
    <w:rsid w:val="00A01F64"/>
    <w:rsid w:val="00A028F6"/>
    <w:rsid w:val="00A02AF4"/>
    <w:rsid w:val="00A03405"/>
    <w:rsid w:val="00A0363E"/>
    <w:rsid w:val="00A03BF3"/>
    <w:rsid w:val="00A04867"/>
    <w:rsid w:val="00A070A5"/>
    <w:rsid w:val="00A07368"/>
    <w:rsid w:val="00A07729"/>
    <w:rsid w:val="00A077C8"/>
    <w:rsid w:val="00A10EF6"/>
    <w:rsid w:val="00A11E0C"/>
    <w:rsid w:val="00A12007"/>
    <w:rsid w:val="00A14839"/>
    <w:rsid w:val="00A15DDD"/>
    <w:rsid w:val="00A165B2"/>
    <w:rsid w:val="00A1730C"/>
    <w:rsid w:val="00A2050E"/>
    <w:rsid w:val="00A21255"/>
    <w:rsid w:val="00A217E9"/>
    <w:rsid w:val="00A22533"/>
    <w:rsid w:val="00A2473B"/>
    <w:rsid w:val="00A24C91"/>
    <w:rsid w:val="00A24F40"/>
    <w:rsid w:val="00A25041"/>
    <w:rsid w:val="00A25A4D"/>
    <w:rsid w:val="00A27FC3"/>
    <w:rsid w:val="00A27FC8"/>
    <w:rsid w:val="00A31789"/>
    <w:rsid w:val="00A31F89"/>
    <w:rsid w:val="00A33725"/>
    <w:rsid w:val="00A33DB2"/>
    <w:rsid w:val="00A3745D"/>
    <w:rsid w:val="00A37662"/>
    <w:rsid w:val="00A403FA"/>
    <w:rsid w:val="00A41BE9"/>
    <w:rsid w:val="00A41D41"/>
    <w:rsid w:val="00A43063"/>
    <w:rsid w:val="00A43741"/>
    <w:rsid w:val="00A453AF"/>
    <w:rsid w:val="00A525B5"/>
    <w:rsid w:val="00A52641"/>
    <w:rsid w:val="00A52853"/>
    <w:rsid w:val="00A52DE6"/>
    <w:rsid w:val="00A54D99"/>
    <w:rsid w:val="00A5519A"/>
    <w:rsid w:val="00A5560A"/>
    <w:rsid w:val="00A56163"/>
    <w:rsid w:val="00A561A2"/>
    <w:rsid w:val="00A5632F"/>
    <w:rsid w:val="00A579E1"/>
    <w:rsid w:val="00A60AAF"/>
    <w:rsid w:val="00A60D4B"/>
    <w:rsid w:val="00A60DAB"/>
    <w:rsid w:val="00A61FAB"/>
    <w:rsid w:val="00A6213F"/>
    <w:rsid w:val="00A623A8"/>
    <w:rsid w:val="00A62920"/>
    <w:rsid w:val="00A62A0A"/>
    <w:rsid w:val="00A632B6"/>
    <w:rsid w:val="00A63466"/>
    <w:rsid w:val="00A6392E"/>
    <w:rsid w:val="00A63E16"/>
    <w:rsid w:val="00A6427B"/>
    <w:rsid w:val="00A652D7"/>
    <w:rsid w:val="00A663C3"/>
    <w:rsid w:val="00A66CF4"/>
    <w:rsid w:val="00A743D9"/>
    <w:rsid w:val="00A74BFB"/>
    <w:rsid w:val="00A74CA2"/>
    <w:rsid w:val="00A74ECE"/>
    <w:rsid w:val="00A75CED"/>
    <w:rsid w:val="00A779EE"/>
    <w:rsid w:val="00A80EAF"/>
    <w:rsid w:val="00A83B1E"/>
    <w:rsid w:val="00A844B0"/>
    <w:rsid w:val="00A8551F"/>
    <w:rsid w:val="00A85572"/>
    <w:rsid w:val="00A85C5A"/>
    <w:rsid w:val="00A871CD"/>
    <w:rsid w:val="00A877F4"/>
    <w:rsid w:val="00A9055F"/>
    <w:rsid w:val="00A921C8"/>
    <w:rsid w:val="00A924BA"/>
    <w:rsid w:val="00A9302B"/>
    <w:rsid w:val="00A94CA8"/>
    <w:rsid w:val="00A977B1"/>
    <w:rsid w:val="00A9798B"/>
    <w:rsid w:val="00AA0102"/>
    <w:rsid w:val="00AA0A90"/>
    <w:rsid w:val="00AA1DAE"/>
    <w:rsid w:val="00AA2171"/>
    <w:rsid w:val="00AA23EB"/>
    <w:rsid w:val="00AA38CC"/>
    <w:rsid w:val="00AA50D6"/>
    <w:rsid w:val="00AA63CE"/>
    <w:rsid w:val="00AA6492"/>
    <w:rsid w:val="00AA66E7"/>
    <w:rsid w:val="00AA6B7F"/>
    <w:rsid w:val="00AA7E0E"/>
    <w:rsid w:val="00AB1AB8"/>
    <w:rsid w:val="00AB2360"/>
    <w:rsid w:val="00AB2E4E"/>
    <w:rsid w:val="00AB30CD"/>
    <w:rsid w:val="00AB4CB1"/>
    <w:rsid w:val="00AB634A"/>
    <w:rsid w:val="00AB6633"/>
    <w:rsid w:val="00AB66DB"/>
    <w:rsid w:val="00AB799F"/>
    <w:rsid w:val="00AC1EA9"/>
    <w:rsid w:val="00AC3091"/>
    <w:rsid w:val="00AC3413"/>
    <w:rsid w:val="00AC62E3"/>
    <w:rsid w:val="00AC7034"/>
    <w:rsid w:val="00AD1915"/>
    <w:rsid w:val="00AD1FA0"/>
    <w:rsid w:val="00AD4991"/>
    <w:rsid w:val="00AD527F"/>
    <w:rsid w:val="00AE13C2"/>
    <w:rsid w:val="00AE2631"/>
    <w:rsid w:val="00AE3B2B"/>
    <w:rsid w:val="00AE59D0"/>
    <w:rsid w:val="00AE66B5"/>
    <w:rsid w:val="00AE7012"/>
    <w:rsid w:val="00AE72E0"/>
    <w:rsid w:val="00AF0679"/>
    <w:rsid w:val="00AF1747"/>
    <w:rsid w:val="00AF33CE"/>
    <w:rsid w:val="00AF3491"/>
    <w:rsid w:val="00AF4F23"/>
    <w:rsid w:val="00AF5894"/>
    <w:rsid w:val="00AF5909"/>
    <w:rsid w:val="00AF7092"/>
    <w:rsid w:val="00B01BCA"/>
    <w:rsid w:val="00B01F14"/>
    <w:rsid w:val="00B02DCD"/>
    <w:rsid w:val="00B0335F"/>
    <w:rsid w:val="00B03DF9"/>
    <w:rsid w:val="00B04C44"/>
    <w:rsid w:val="00B05936"/>
    <w:rsid w:val="00B06D9E"/>
    <w:rsid w:val="00B1097A"/>
    <w:rsid w:val="00B1171A"/>
    <w:rsid w:val="00B131D3"/>
    <w:rsid w:val="00B14CF3"/>
    <w:rsid w:val="00B17A23"/>
    <w:rsid w:val="00B20BCC"/>
    <w:rsid w:val="00B21827"/>
    <w:rsid w:val="00B218F0"/>
    <w:rsid w:val="00B22A18"/>
    <w:rsid w:val="00B249CB"/>
    <w:rsid w:val="00B24EA5"/>
    <w:rsid w:val="00B25FF0"/>
    <w:rsid w:val="00B267F8"/>
    <w:rsid w:val="00B2760B"/>
    <w:rsid w:val="00B30808"/>
    <w:rsid w:val="00B30956"/>
    <w:rsid w:val="00B30AA1"/>
    <w:rsid w:val="00B31BB3"/>
    <w:rsid w:val="00B32B32"/>
    <w:rsid w:val="00B34142"/>
    <w:rsid w:val="00B3534B"/>
    <w:rsid w:val="00B357D3"/>
    <w:rsid w:val="00B36571"/>
    <w:rsid w:val="00B368C2"/>
    <w:rsid w:val="00B36A60"/>
    <w:rsid w:val="00B36C4D"/>
    <w:rsid w:val="00B3710A"/>
    <w:rsid w:val="00B40EFF"/>
    <w:rsid w:val="00B4263B"/>
    <w:rsid w:val="00B43159"/>
    <w:rsid w:val="00B45B52"/>
    <w:rsid w:val="00B47E58"/>
    <w:rsid w:val="00B504DE"/>
    <w:rsid w:val="00B53F93"/>
    <w:rsid w:val="00B53FCC"/>
    <w:rsid w:val="00B5493A"/>
    <w:rsid w:val="00B55AAC"/>
    <w:rsid w:val="00B56223"/>
    <w:rsid w:val="00B562BA"/>
    <w:rsid w:val="00B57117"/>
    <w:rsid w:val="00B617FD"/>
    <w:rsid w:val="00B618B8"/>
    <w:rsid w:val="00B64626"/>
    <w:rsid w:val="00B650CB"/>
    <w:rsid w:val="00B65675"/>
    <w:rsid w:val="00B66735"/>
    <w:rsid w:val="00B700F8"/>
    <w:rsid w:val="00B70163"/>
    <w:rsid w:val="00B7075C"/>
    <w:rsid w:val="00B709AA"/>
    <w:rsid w:val="00B73499"/>
    <w:rsid w:val="00B73639"/>
    <w:rsid w:val="00B7398F"/>
    <w:rsid w:val="00B7675D"/>
    <w:rsid w:val="00B7682E"/>
    <w:rsid w:val="00B77E5B"/>
    <w:rsid w:val="00B80CC9"/>
    <w:rsid w:val="00B81AF5"/>
    <w:rsid w:val="00B83541"/>
    <w:rsid w:val="00B83D46"/>
    <w:rsid w:val="00B84830"/>
    <w:rsid w:val="00B84B1C"/>
    <w:rsid w:val="00B85D3B"/>
    <w:rsid w:val="00B86638"/>
    <w:rsid w:val="00B86A11"/>
    <w:rsid w:val="00B90562"/>
    <w:rsid w:val="00B909E6"/>
    <w:rsid w:val="00B90F83"/>
    <w:rsid w:val="00B92030"/>
    <w:rsid w:val="00B93980"/>
    <w:rsid w:val="00B95196"/>
    <w:rsid w:val="00B95A8C"/>
    <w:rsid w:val="00B95DA8"/>
    <w:rsid w:val="00B960C1"/>
    <w:rsid w:val="00B971CF"/>
    <w:rsid w:val="00B97241"/>
    <w:rsid w:val="00BA03AC"/>
    <w:rsid w:val="00BA19F2"/>
    <w:rsid w:val="00BA1C72"/>
    <w:rsid w:val="00BA25F4"/>
    <w:rsid w:val="00BA432E"/>
    <w:rsid w:val="00BA5AB5"/>
    <w:rsid w:val="00BA5F00"/>
    <w:rsid w:val="00BB065C"/>
    <w:rsid w:val="00BB3244"/>
    <w:rsid w:val="00BB3A09"/>
    <w:rsid w:val="00BB53D3"/>
    <w:rsid w:val="00BB6752"/>
    <w:rsid w:val="00BB7A4C"/>
    <w:rsid w:val="00BB7C1C"/>
    <w:rsid w:val="00BC05ED"/>
    <w:rsid w:val="00BC0CF1"/>
    <w:rsid w:val="00BC28E9"/>
    <w:rsid w:val="00BC3A91"/>
    <w:rsid w:val="00BC6FDC"/>
    <w:rsid w:val="00BC7587"/>
    <w:rsid w:val="00BD00B0"/>
    <w:rsid w:val="00BD03F0"/>
    <w:rsid w:val="00BD11DC"/>
    <w:rsid w:val="00BD1269"/>
    <w:rsid w:val="00BD170A"/>
    <w:rsid w:val="00BD3A7D"/>
    <w:rsid w:val="00BD43D2"/>
    <w:rsid w:val="00BD43F6"/>
    <w:rsid w:val="00BD4761"/>
    <w:rsid w:val="00BD5843"/>
    <w:rsid w:val="00BD6AB4"/>
    <w:rsid w:val="00BE2219"/>
    <w:rsid w:val="00BE2622"/>
    <w:rsid w:val="00BE28F1"/>
    <w:rsid w:val="00BE341E"/>
    <w:rsid w:val="00BE3723"/>
    <w:rsid w:val="00BE3B6B"/>
    <w:rsid w:val="00BE4E37"/>
    <w:rsid w:val="00BE5618"/>
    <w:rsid w:val="00BE5D39"/>
    <w:rsid w:val="00BF0161"/>
    <w:rsid w:val="00BF044E"/>
    <w:rsid w:val="00BF139E"/>
    <w:rsid w:val="00BF4D40"/>
    <w:rsid w:val="00BF6B79"/>
    <w:rsid w:val="00BF7A8F"/>
    <w:rsid w:val="00C00BE5"/>
    <w:rsid w:val="00C00FBE"/>
    <w:rsid w:val="00C04A5F"/>
    <w:rsid w:val="00C06228"/>
    <w:rsid w:val="00C101B2"/>
    <w:rsid w:val="00C10AFA"/>
    <w:rsid w:val="00C10CA3"/>
    <w:rsid w:val="00C12931"/>
    <w:rsid w:val="00C12A9E"/>
    <w:rsid w:val="00C13E1B"/>
    <w:rsid w:val="00C15B27"/>
    <w:rsid w:val="00C15EC3"/>
    <w:rsid w:val="00C16380"/>
    <w:rsid w:val="00C17804"/>
    <w:rsid w:val="00C17A1D"/>
    <w:rsid w:val="00C21092"/>
    <w:rsid w:val="00C21A85"/>
    <w:rsid w:val="00C22134"/>
    <w:rsid w:val="00C22A15"/>
    <w:rsid w:val="00C25041"/>
    <w:rsid w:val="00C26915"/>
    <w:rsid w:val="00C26AF4"/>
    <w:rsid w:val="00C270DB"/>
    <w:rsid w:val="00C2791F"/>
    <w:rsid w:val="00C3017C"/>
    <w:rsid w:val="00C319A3"/>
    <w:rsid w:val="00C324CF"/>
    <w:rsid w:val="00C3371A"/>
    <w:rsid w:val="00C347A7"/>
    <w:rsid w:val="00C375DE"/>
    <w:rsid w:val="00C378F5"/>
    <w:rsid w:val="00C41000"/>
    <w:rsid w:val="00C42350"/>
    <w:rsid w:val="00C428C5"/>
    <w:rsid w:val="00C43017"/>
    <w:rsid w:val="00C44121"/>
    <w:rsid w:val="00C448AF"/>
    <w:rsid w:val="00C507E9"/>
    <w:rsid w:val="00C5129C"/>
    <w:rsid w:val="00C5204E"/>
    <w:rsid w:val="00C525E0"/>
    <w:rsid w:val="00C5387E"/>
    <w:rsid w:val="00C53E61"/>
    <w:rsid w:val="00C54243"/>
    <w:rsid w:val="00C5433C"/>
    <w:rsid w:val="00C6065F"/>
    <w:rsid w:val="00C62BC9"/>
    <w:rsid w:val="00C636B2"/>
    <w:rsid w:val="00C65A36"/>
    <w:rsid w:val="00C66F3F"/>
    <w:rsid w:val="00C66F5F"/>
    <w:rsid w:val="00C6754E"/>
    <w:rsid w:val="00C67ED0"/>
    <w:rsid w:val="00C70A7B"/>
    <w:rsid w:val="00C71DBC"/>
    <w:rsid w:val="00C72CE8"/>
    <w:rsid w:val="00C7388D"/>
    <w:rsid w:val="00C73EC9"/>
    <w:rsid w:val="00C74206"/>
    <w:rsid w:val="00C74B06"/>
    <w:rsid w:val="00C7739E"/>
    <w:rsid w:val="00C81477"/>
    <w:rsid w:val="00C83058"/>
    <w:rsid w:val="00C85AFE"/>
    <w:rsid w:val="00C863A1"/>
    <w:rsid w:val="00C86413"/>
    <w:rsid w:val="00C86850"/>
    <w:rsid w:val="00C868B3"/>
    <w:rsid w:val="00C909C2"/>
    <w:rsid w:val="00C933ED"/>
    <w:rsid w:val="00C945B7"/>
    <w:rsid w:val="00C953E1"/>
    <w:rsid w:val="00C96168"/>
    <w:rsid w:val="00C97038"/>
    <w:rsid w:val="00C97124"/>
    <w:rsid w:val="00C9760D"/>
    <w:rsid w:val="00CA0320"/>
    <w:rsid w:val="00CA0ABF"/>
    <w:rsid w:val="00CA0BC2"/>
    <w:rsid w:val="00CA1130"/>
    <w:rsid w:val="00CA2257"/>
    <w:rsid w:val="00CA2BF3"/>
    <w:rsid w:val="00CA2DBC"/>
    <w:rsid w:val="00CA3B49"/>
    <w:rsid w:val="00CA4F48"/>
    <w:rsid w:val="00CA5302"/>
    <w:rsid w:val="00CA53FD"/>
    <w:rsid w:val="00CA649C"/>
    <w:rsid w:val="00CA6A57"/>
    <w:rsid w:val="00CA7665"/>
    <w:rsid w:val="00CB12CE"/>
    <w:rsid w:val="00CB32CF"/>
    <w:rsid w:val="00CB3E13"/>
    <w:rsid w:val="00CB5029"/>
    <w:rsid w:val="00CB5741"/>
    <w:rsid w:val="00CB5A0C"/>
    <w:rsid w:val="00CB6431"/>
    <w:rsid w:val="00CB7D44"/>
    <w:rsid w:val="00CC14C3"/>
    <w:rsid w:val="00CC1CA7"/>
    <w:rsid w:val="00CC2038"/>
    <w:rsid w:val="00CC4010"/>
    <w:rsid w:val="00CC44D8"/>
    <w:rsid w:val="00CC4771"/>
    <w:rsid w:val="00CC4E0C"/>
    <w:rsid w:val="00CC5604"/>
    <w:rsid w:val="00CC6D55"/>
    <w:rsid w:val="00CC7C0E"/>
    <w:rsid w:val="00CD03C1"/>
    <w:rsid w:val="00CD0D46"/>
    <w:rsid w:val="00CD25FD"/>
    <w:rsid w:val="00CD6833"/>
    <w:rsid w:val="00CD772A"/>
    <w:rsid w:val="00CD799D"/>
    <w:rsid w:val="00CD7B00"/>
    <w:rsid w:val="00CD7D0B"/>
    <w:rsid w:val="00CE0C6F"/>
    <w:rsid w:val="00CE105B"/>
    <w:rsid w:val="00CE187F"/>
    <w:rsid w:val="00CE1CA6"/>
    <w:rsid w:val="00CE2370"/>
    <w:rsid w:val="00CE2BB0"/>
    <w:rsid w:val="00CE4428"/>
    <w:rsid w:val="00CE4629"/>
    <w:rsid w:val="00CE495B"/>
    <w:rsid w:val="00CE5E9B"/>
    <w:rsid w:val="00CE6D41"/>
    <w:rsid w:val="00CE787B"/>
    <w:rsid w:val="00CE7C5C"/>
    <w:rsid w:val="00CF1C12"/>
    <w:rsid w:val="00CF51BC"/>
    <w:rsid w:val="00CF6062"/>
    <w:rsid w:val="00CF6537"/>
    <w:rsid w:val="00CF6915"/>
    <w:rsid w:val="00CF6B44"/>
    <w:rsid w:val="00CF6C46"/>
    <w:rsid w:val="00D0065B"/>
    <w:rsid w:val="00D0065C"/>
    <w:rsid w:val="00D0166F"/>
    <w:rsid w:val="00D02289"/>
    <w:rsid w:val="00D03857"/>
    <w:rsid w:val="00D05741"/>
    <w:rsid w:val="00D05CD0"/>
    <w:rsid w:val="00D05ED6"/>
    <w:rsid w:val="00D05FE9"/>
    <w:rsid w:val="00D06A91"/>
    <w:rsid w:val="00D06E98"/>
    <w:rsid w:val="00D07382"/>
    <w:rsid w:val="00D07E8E"/>
    <w:rsid w:val="00D1078B"/>
    <w:rsid w:val="00D10939"/>
    <w:rsid w:val="00D1157E"/>
    <w:rsid w:val="00D11F16"/>
    <w:rsid w:val="00D14004"/>
    <w:rsid w:val="00D14777"/>
    <w:rsid w:val="00D14B36"/>
    <w:rsid w:val="00D15195"/>
    <w:rsid w:val="00D15459"/>
    <w:rsid w:val="00D1633C"/>
    <w:rsid w:val="00D201C7"/>
    <w:rsid w:val="00D2117F"/>
    <w:rsid w:val="00D21605"/>
    <w:rsid w:val="00D234FB"/>
    <w:rsid w:val="00D23E25"/>
    <w:rsid w:val="00D2408C"/>
    <w:rsid w:val="00D242D5"/>
    <w:rsid w:val="00D247D2"/>
    <w:rsid w:val="00D252B1"/>
    <w:rsid w:val="00D304DF"/>
    <w:rsid w:val="00D30691"/>
    <w:rsid w:val="00D32268"/>
    <w:rsid w:val="00D32559"/>
    <w:rsid w:val="00D34588"/>
    <w:rsid w:val="00D348B5"/>
    <w:rsid w:val="00D36845"/>
    <w:rsid w:val="00D41C7E"/>
    <w:rsid w:val="00D41D7B"/>
    <w:rsid w:val="00D41F00"/>
    <w:rsid w:val="00D4228D"/>
    <w:rsid w:val="00D42360"/>
    <w:rsid w:val="00D42423"/>
    <w:rsid w:val="00D4261F"/>
    <w:rsid w:val="00D44E4F"/>
    <w:rsid w:val="00D4622F"/>
    <w:rsid w:val="00D5021A"/>
    <w:rsid w:val="00D51E42"/>
    <w:rsid w:val="00D5376F"/>
    <w:rsid w:val="00D54D50"/>
    <w:rsid w:val="00D55074"/>
    <w:rsid w:val="00D5660F"/>
    <w:rsid w:val="00D57535"/>
    <w:rsid w:val="00D57537"/>
    <w:rsid w:val="00D575A6"/>
    <w:rsid w:val="00D60BAC"/>
    <w:rsid w:val="00D616E2"/>
    <w:rsid w:val="00D62C2A"/>
    <w:rsid w:val="00D6778D"/>
    <w:rsid w:val="00D7131A"/>
    <w:rsid w:val="00D71D39"/>
    <w:rsid w:val="00D727AF"/>
    <w:rsid w:val="00D73BB7"/>
    <w:rsid w:val="00D754A0"/>
    <w:rsid w:val="00D775A2"/>
    <w:rsid w:val="00D80005"/>
    <w:rsid w:val="00D80FE3"/>
    <w:rsid w:val="00D81161"/>
    <w:rsid w:val="00D81532"/>
    <w:rsid w:val="00D8182C"/>
    <w:rsid w:val="00D8202C"/>
    <w:rsid w:val="00D823AD"/>
    <w:rsid w:val="00D82443"/>
    <w:rsid w:val="00D82A03"/>
    <w:rsid w:val="00D82E50"/>
    <w:rsid w:val="00D8304E"/>
    <w:rsid w:val="00D83847"/>
    <w:rsid w:val="00D872A4"/>
    <w:rsid w:val="00D91211"/>
    <w:rsid w:val="00D915B0"/>
    <w:rsid w:val="00D9172D"/>
    <w:rsid w:val="00D91DD1"/>
    <w:rsid w:val="00D9210E"/>
    <w:rsid w:val="00D92A86"/>
    <w:rsid w:val="00D92D87"/>
    <w:rsid w:val="00D93665"/>
    <w:rsid w:val="00D93BB2"/>
    <w:rsid w:val="00D94388"/>
    <w:rsid w:val="00D94592"/>
    <w:rsid w:val="00D94CC9"/>
    <w:rsid w:val="00DA0A32"/>
    <w:rsid w:val="00DA1079"/>
    <w:rsid w:val="00DA21CB"/>
    <w:rsid w:val="00DA3335"/>
    <w:rsid w:val="00DA3F19"/>
    <w:rsid w:val="00DA435F"/>
    <w:rsid w:val="00DA50EA"/>
    <w:rsid w:val="00DA58A6"/>
    <w:rsid w:val="00DA619C"/>
    <w:rsid w:val="00DB2D9E"/>
    <w:rsid w:val="00DB3912"/>
    <w:rsid w:val="00DB4312"/>
    <w:rsid w:val="00DB4759"/>
    <w:rsid w:val="00DB4D85"/>
    <w:rsid w:val="00DC0B46"/>
    <w:rsid w:val="00DC1BDE"/>
    <w:rsid w:val="00DC1CAC"/>
    <w:rsid w:val="00DC22EB"/>
    <w:rsid w:val="00DC2ADE"/>
    <w:rsid w:val="00DC33A4"/>
    <w:rsid w:val="00DC5004"/>
    <w:rsid w:val="00DC5D25"/>
    <w:rsid w:val="00DD07F9"/>
    <w:rsid w:val="00DD091C"/>
    <w:rsid w:val="00DD0CE8"/>
    <w:rsid w:val="00DD178C"/>
    <w:rsid w:val="00DD1B6D"/>
    <w:rsid w:val="00DD2501"/>
    <w:rsid w:val="00DD2A1A"/>
    <w:rsid w:val="00DD358B"/>
    <w:rsid w:val="00DD66CC"/>
    <w:rsid w:val="00DE00D7"/>
    <w:rsid w:val="00DE1494"/>
    <w:rsid w:val="00DE189E"/>
    <w:rsid w:val="00DE1AA7"/>
    <w:rsid w:val="00DE1DFE"/>
    <w:rsid w:val="00DE2057"/>
    <w:rsid w:val="00DE21AB"/>
    <w:rsid w:val="00DE26E1"/>
    <w:rsid w:val="00DE2DA5"/>
    <w:rsid w:val="00DE3420"/>
    <w:rsid w:val="00DE3836"/>
    <w:rsid w:val="00DE385B"/>
    <w:rsid w:val="00DE40C1"/>
    <w:rsid w:val="00DE4120"/>
    <w:rsid w:val="00DE4ED3"/>
    <w:rsid w:val="00DE585D"/>
    <w:rsid w:val="00DE6A95"/>
    <w:rsid w:val="00DE6B0A"/>
    <w:rsid w:val="00DF0C09"/>
    <w:rsid w:val="00DF1268"/>
    <w:rsid w:val="00DF1FA5"/>
    <w:rsid w:val="00DF2949"/>
    <w:rsid w:val="00DF4483"/>
    <w:rsid w:val="00DF4CC3"/>
    <w:rsid w:val="00DF5917"/>
    <w:rsid w:val="00DF5978"/>
    <w:rsid w:val="00DF605C"/>
    <w:rsid w:val="00DF7B6F"/>
    <w:rsid w:val="00DF7F7E"/>
    <w:rsid w:val="00E0213C"/>
    <w:rsid w:val="00E049DA"/>
    <w:rsid w:val="00E04AA0"/>
    <w:rsid w:val="00E07141"/>
    <w:rsid w:val="00E073BE"/>
    <w:rsid w:val="00E07409"/>
    <w:rsid w:val="00E11F4A"/>
    <w:rsid w:val="00E12210"/>
    <w:rsid w:val="00E14D59"/>
    <w:rsid w:val="00E14E9A"/>
    <w:rsid w:val="00E1560A"/>
    <w:rsid w:val="00E15717"/>
    <w:rsid w:val="00E2051A"/>
    <w:rsid w:val="00E20AB5"/>
    <w:rsid w:val="00E21573"/>
    <w:rsid w:val="00E21C06"/>
    <w:rsid w:val="00E21F92"/>
    <w:rsid w:val="00E220F1"/>
    <w:rsid w:val="00E23A22"/>
    <w:rsid w:val="00E2433C"/>
    <w:rsid w:val="00E260E8"/>
    <w:rsid w:val="00E265AE"/>
    <w:rsid w:val="00E27250"/>
    <w:rsid w:val="00E3129A"/>
    <w:rsid w:val="00E31906"/>
    <w:rsid w:val="00E3234F"/>
    <w:rsid w:val="00E32946"/>
    <w:rsid w:val="00E32A6C"/>
    <w:rsid w:val="00E343C8"/>
    <w:rsid w:val="00E343EE"/>
    <w:rsid w:val="00E34CD4"/>
    <w:rsid w:val="00E352DC"/>
    <w:rsid w:val="00E3570C"/>
    <w:rsid w:val="00E40652"/>
    <w:rsid w:val="00E411C7"/>
    <w:rsid w:val="00E42A07"/>
    <w:rsid w:val="00E435CF"/>
    <w:rsid w:val="00E44FF4"/>
    <w:rsid w:val="00E468F6"/>
    <w:rsid w:val="00E50672"/>
    <w:rsid w:val="00E50910"/>
    <w:rsid w:val="00E517A9"/>
    <w:rsid w:val="00E51F8C"/>
    <w:rsid w:val="00E531C5"/>
    <w:rsid w:val="00E54483"/>
    <w:rsid w:val="00E5460A"/>
    <w:rsid w:val="00E54E80"/>
    <w:rsid w:val="00E55DF6"/>
    <w:rsid w:val="00E56DF5"/>
    <w:rsid w:val="00E57020"/>
    <w:rsid w:val="00E57791"/>
    <w:rsid w:val="00E610BD"/>
    <w:rsid w:val="00E62F7E"/>
    <w:rsid w:val="00E636B4"/>
    <w:rsid w:val="00E63E3E"/>
    <w:rsid w:val="00E6565B"/>
    <w:rsid w:val="00E679EF"/>
    <w:rsid w:val="00E70A01"/>
    <w:rsid w:val="00E7203D"/>
    <w:rsid w:val="00E7378F"/>
    <w:rsid w:val="00E8022D"/>
    <w:rsid w:val="00E80FEC"/>
    <w:rsid w:val="00E83821"/>
    <w:rsid w:val="00E83CE0"/>
    <w:rsid w:val="00E84638"/>
    <w:rsid w:val="00E85D48"/>
    <w:rsid w:val="00E87ACD"/>
    <w:rsid w:val="00E87C07"/>
    <w:rsid w:val="00E9021B"/>
    <w:rsid w:val="00E9060D"/>
    <w:rsid w:val="00E90926"/>
    <w:rsid w:val="00E93366"/>
    <w:rsid w:val="00E935F9"/>
    <w:rsid w:val="00E9408D"/>
    <w:rsid w:val="00E94FFB"/>
    <w:rsid w:val="00E975D9"/>
    <w:rsid w:val="00E9772D"/>
    <w:rsid w:val="00E97E9A"/>
    <w:rsid w:val="00EA00EB"/>
    <w:rsid w:val="00EA0A53"/>
    <w:rsid w:val="00EA2A29"/>
    <w:rsid w:val="00EA2CCA"/>
    <w:rsid w:val="00EA32CC"/>
    <w:rsid w:val="00EA57A0"/>
    <w:rsid w:val="00EA7834"/>
    <w:rsid w:val="00EB07FE"/>
    <w:rsid w:val="00EB187A"/>
    <w:rsid w:val="00EB40B2"/>
    <w:rsid w:val="00EB5EA6"/>
    <w:rsid w:val="00EB66A7"/>
    <w:rsid w:val="00EB6D66"/>
    <w:rsid w:val="00EC0A26"/>
    <w:rsid w:val="00EC2E31"/>
    <w:rsid w:val="00EC4652"/>
    <w:rsid w:val="00EC613C"/>
    <w:rsid w:val="00EC6CDD"/>
    <w:rsid w:val="00ED0538"/>
    <w:rsid w:val="00ED0CCF"/>
    <w:rsid w:val="00ED153F"/>
    <w:rsid w:val="00ED1AC8"/>
    <w:rsid w:val="00ED241B"/>
    <w:rsid w:val="00ED30F5"/>
    <w:rsid w:val="00ED3163"/>
    <w:rsid w:val="00ED3AD0"/>
    <w:rsid w:val="00ED404F"/>
    <w:rsid w:val="00ED6733"/>
    <w:rsid w:val="00EE2E36"/>
    <w:rsid w:val="00EE2F55"/>
    <w:rsid w:val="00EE4993"/>
    <w:rsid w:val="00EE516D"/>
    <w:rsid w:val="00EE534C"/>
    <w:rsid w:val="00EE5818"/>
    <w:rsid w:val="00EF089C"/>
    <w:rsid w:val="00EF0B24"/>
    <w:rsid w:val="00EF1091"/>
    <w:rsid w:val="00EF1340"/>
    <w:rsid w:val="00EF1919"/>
    <w:rsid w:val="00EF235F"/>
    <w:rsid w:val="00EF25F2"/>
    <w:rsid w:val="00EF425D"/>
    <w:rsid w:val="00EF46D3"/>
    <w:rsid w:val="00EF5F9E"/>
    <w:rsid w:val="00EF6847"/>
    <w:rsid w:val="00EF7AC6"/>
    <w:rsid w:val="00F00BE6"/>
    <w:rsid w:val="00F00F5C"/>
    <w:rsid w:val="00F00F73"/>
    <w:rsid w:val="00F017AD"/>
    <w:rsid w:val="00F01955"/>
    <w:rsid w:val="00F01A20"/>
    <w:rsid w:val="00F01B61"/>
    <w:rsid w:val="00F038FA"/>
    <w:rsid w:val="00F05F17"/>
    <w:rsid w:val="00F06778"/>
    <w:rsid w:val="00F06DAE"/>
    <w:rsid w:val="00F07721"/>
    <w:rsid w:val="00F12A7D"/>
    <w:rsid w:val="00F13D1B"/>
    <w:rsid w:val="00F13D67"/>
    <w:rsid w:val="00F145DE"/>
    <w:rsid w:val="00F14BED"/>
    <w:rsid w:val="00F153F6"/>
    <w:rsid w:val="00F16DBE"/>
    <w:rsid w:val="00F17F67"/>
    <w:rsid w:val="00F2188B"/>
    <w:rsid w:val="00F23786"/>
    <w:rsid w:val="00F243BA"/>
    <w:rsid w:val="00F26DEB"/>
    <w:rsid w:val="00F27068"/>
    <w:rsid w:val="00F304B7"/>
    <w:rsid w:val="00F311C2"/>
    <w:rsid w:val="00F31316"/>
    <w:rsid w:val="00F31C64"/>
    <w:rsid w:val="00F32D29"/>
    <w:rsid w:val="00F33295"/>
    <w:rsid w:val="00F337DC"/>
    <w:rsid w:val="00F35401"/>
    <w:rsid w:val="00F35EE4"/>
    <w:rsid w:val="00F3650E"/>
    <w:rsid w:val="00F3691D"/>
    <w:rsid w:val="00F36A23"/>
    <w:rsid w:val="00F37270"/>
    <w:rsid w:val="00F40594"/>
    <w:rsid w:val="00F40CA6"/>
    <w:rsid w:val="00F42C04"/>
    <w:rsid w:val="00F44F37"/>
    <w:rsid w:val="00F46398"/>
    <w:rsid w:val="00F46928"/>
    <w:rsid w:val="00F4776C"/>
    <w:rsid w:val="00F5156A"/>
    <w:rsid w:val="00F51C48"/>
    <w:rsid w:val="00F51C7D"/>
    <w:rsid w:val="00F53F3E"/>
    <w:rsid w:val="00F57841"/>
    <w:rsid w:val="00F60813"/>
    <w:rsid w:val="00F61E02"/>
    <w:rsid w:val="00F622D2"/>
    <w:rsid w:val="00F62D46"/>
    <w:rsid w:val="00F6500E"/>
    <w:rsid w:val="00F67085"/>
    <w:rsid w:val="00F6766D"/>
    <w:rsid w:val="00F6783A"/>
    <w:rsid w:val="00F703A7"/>
    <w:rsid w:val="00F730C5"/>
    <w:rsid w:val="00F76432"/>
    <w:rsid w:val="00F76A4E"/>
    <w:rsid w:val="00F772CE"/>
    <w:rsid w:val="00F77A2F"/>
    <w:rsid w:val="00F77BC6"/>
    <w:rsid w:val="00F77BCC"/>
    <w:rsid w:val="00F77D91"/>
    <w:rsid w:val="00F80586"/>
    <w:rsid w:val="00F80B30"/>
    <w:rsid w:val="00F81FB5"/>
    <w:rsid w:val="00F820DE"/>
    <w:rsid w:val="00F821F5"/>
    <w:rsid w:val="00F839C2"/>
    <w:rsid w:val="00F83B87"/>
    <w:rsid w:val="00F83D08"/>
    <w:rsid w:val="00F859A5"/>
    <w:rsid w:val="00F87EC7"/>
    <w:rsid w:val="00F90536"/>
    <w:rsid w:val="00F91C47"/>
    <w:rsid w:val="00F91D45"/>
    <w:rsid w:val="00F93AE8"/>
    <w:rsid w:val="00F942D7"/>
    <w:rsid w:val="00F97207"/>
    <w:rsid w:val="00FA091D"/>
    <w:rsid w:val="00FA236A"/>
    <w:rsid w:val="00FA241F"/>
    <w:rsid w:val="00FA2D9F"/>
    <w:rsid w:val="00FA52D9"/>
    <w:rsid w:val="00FA5AB1"/>
    <w:rsid w:val="00FA5C5E"/>
    <w:rsid w:val="00FA6029"/>
    <w:rsid w:val="00FA66B1"/>
    <w:rsid w:val="00FA6B55"/>
    <w:rsid w:val="00FA6FB1"/>
    <w:rsid w:val="00FB1500"/>
    <w:rsid w:val="00FB26A1"/>
    <w:rsid w:val="00FB35C3"/>
    <w:rsid w:val="00FB426D"/>
    <w:rsid w:val="00FB7310"/>
    <w:rsid w:val="00FC1E1D"/>
    <w:rsid w:val="00FC36FB"/>
    <w:rsid w:val="00FC38B0"/>
    <w:rsid w:val="00FC4B32"/>
    <w:rsid w:val="00FC5158"/>
    <w:rsid w:val="00FC73BC"/>
    <w:rsid w:val="00FC78EA"/>
    <w:rsid w:val="00FC7AFC"/>
    <w:rsid w:val="00FD0D63"/>
    <w:rsid w:val="00FD37FF"/>
    <w:rsid w:val="00FD3871"/>
    <w:rsid w:val="00FD3A33"/>
    <w:rsid w:val="00FD3C00"/>
    <w:rsid w:val="00FD468D"/>
    <w:rsid w:val="00FD5FE3"/>
    <w:rsid w:val="00FE0AB3"/>
    <w:rsid w:val="00FE0BBB"/>
    <w:rsid w:val="00FE0EFD"/>
    <w:rsid w:val="00FE1FAE"/>
    <w:rsid w:val="00FE2CE9"/>
    <w:rsid w:val="00FE322C"/>
    <w:rsid w:val="00FE3DE2"/>
    <w:rsid w:val="00FE42CD"/>
    <w:rsid w:val="00FE559E"/>
    <w:rsid w:val="00FE5C61"/>
    <w:rsid w:val="00FE5CC9"/>
    <w:rsid w:val="00FE7213"/>
    <w:rsid w:val="00FF07CB"/>
    <w:rsid w:val="00FF0CD0"/>
    <w:rsid w:val="00FF17A3"/>
    <w:rsid w:val="00FF31B1"/>
    <w:rsid w:val="00FF37C8"/>
    <w:rsid w:val="00FF4550"/>
    <w:rsid w:val="00FF4B33"/>
    <w:rsid w:val="00FF4C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6AE4D"/>
  <w15:docId w15:val="{63A63F17-85A4-4FC1-AEDF-0137EB3A8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41B"/>
    <w:pPr>
      <w:spacing w:after="0" w:line="240" w:lineRule="auto"/>
    </w:pPr>
    <w:rPr>
      <w:rFonts w:ascii="Times New Roman" w:eastAsia="Times New Roman" w:hAnsi="Times New Roman" w:cs="Times New Roman"/>
      <w:snapToGrid w:val="0"/>
      <w:sz w:val="20"/>
      <w:szCs w:val="20"/>
      <w:lang w:val="es-ES_tradnl" w:eastAsia="es-ES"/>
    </w:rPr>
  </w:style>
  <w:style w:type="paragraph" w:styleId="Ttulo1">
    <w:name w:val="heading 1"/>
    <w:basedOn w:val="Normal"/>
    <w:next w:val="Normal"/>
    <w:link w:val="Ttulo1Car"/>
    <w:qFormat/>
    <w:rsid w:val="0013684A"/>
    <w:pPr>
      <w:keepNext/>
      <w:tabs>
        <w:tab w:val="left" w:pos="-720"/>
        <w:tab w:val="left" w:pos="0"/>
        <w:tab w:val="left" w:pos="720"/>
      </w:tabs>
      <w:suppressAutoHyphens/>
      <w:spacing w:before="120"/>
      <w:ind w:left="1440" w:hanging="22"/>
      <w:jc w:val="both"/>
      <w:outlineLvl w:val="0"/>
    </w:pPr>
    <w:rPr>
      <w:rFonts w:ascii="Arial" w:hAnsi="Arial"/>
      <w:b/>
      <w:spacing w:val="3"/>
      <w:sz w:val="16"/>
    </w:rPr>
  </w:style>
  <w:style w:type="paragraph" w:styleId="Ttulo2">
    <w:name w:val="heading 2"/>
    <w:basedOn w:val="Normal"/>
    <w:next w:val="Normal"/>
    <w:link w:val="Ttulo2Car"/>
    <w:qFormat/>
    <w:rsid w:val="0013684A"/>
    <w:pPr>
      <w:keepNext/>
      <w:tabs>
        <w:tab w:val="left" w:pos="-720"/>
      </w:tabs>
      <w:suppressAutoHyphens/>
      <w:spacing w:before="120"/>
      <w:ind w:left="1418"/>
      <w:jc w:val="both"/>
      <w:outlineLvl w:val="1"/>
    </w:pPr>
    <w:rPr>
      <w:rFonts w:ascii="Arial" w:hAnsi="Arial"/>
      <w:b/>
      <w:spacing w:val="3"/>
      <w:sz w:val="16"/>
    </w:rPr>
  </w:style>
  <w:style w:type="paragraph" w:styleId="Ttulo3">
    <w:name w:val="heading 3"/>
    <w:basedOn w:val="Normal"/>
    <w:next w:val="Normal"/>
    <w:link w:val="Ttulo3Car"/>
    <w:qFormat/>
    <w:rsid w:val="0013684A"/>
    <w:pPr>
      <w:keepNext/>
      <w:tabs>
        <w:tab w:val="left" w:pos="-720"/>
        <w:tab w:val="left" w:pos="0"/>
        <w:tab w:val="left" w:pos="720"/>
      </w:tabs>
      <w:suppressAutoHyphens/>
      <w:spacing w:before="120"/>
      <w:jc w:val="both"/>
      <w:outlineLvl w:val="2"/>
    </w:pPr>
    <w:rPr>
      <w:rFonts w:ascii="Arial" w:hAnsi="Arial"/>
      <w:b/>
      <w:spacing w:val="3"/>
      <w:sz w:val="16"/>
    </w:rPr>
  </w:style>
  <w:style w:type="paragraph" w:styleId="Ttulo4">
    <w:name w:val="heading 4"/>
    <w:basedOn w:val="Normal"/>
    <w:next w:val="Normal"/>
    <w:link w:val="Ttulo4Car"/>
    <w:qFormat/>
    <w:rsid w:val="0013684A"/>
    <w:pPr>
      <w:keepNext/>
      <w:spacing w:before="120"/>
      <w:ind w:left="1440"/>
      <w:jc w:val="both"/>
      <w:outlineLvl w:val="3"/>
    </w:pPr>
    <w:rPr>
      <w:rFonts w:ascii="Arial" w:hAnsi="Arial"/>
      <w:b/>
      <w:spacing w:val="3"/>
      <w:sz w:val="16"/>
    </w:rPr>
  </w:style>
  <w:style w:type="paragraph" w:styleId="Ttulo5">
    <w:name w:val="heading 5"/>
    <w:basedOn w:val="Normal"/>
    <w:next w:val="Normal"/>
    <w:link w:val="Ttulo5Car"/>
    <w:qFormat/>
    <w:rsid w:val="0013684A"/>
    <w:pPr>
      <w:keepNext/>
      <w:tabs>
        <w:tab w:val="left" w:pos="-720"/>
        <w:tab w:val="left" w:pos="0"/>
        <w:tab w:val="left" w:pos="720"/>
      </w:tabs>
      <w:suppressAutoHyphens/>
      <w:spacing w:before="120"/>
      <w:ind w:firstLine="1418"/>
      <w:jc w:val="both"/>
      <w:outlineLvl w:val="4"/>
    </w:pPr>
    <w:rPr>
      <w:rFonts w:ascii="Arial" w:hAnsi="Arial"/>
      <w:b/>
      <w:spacing w:val="3"/>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3684A"/>
    <w:rPr>
      <w:rFonts w:ascii="Arial" w:eastAsia="Times New Roman" w:hAnsi="Arial" w:cs="Times New Roman"/>
      <w:b/>
      <w:snapToGrid w:val="0"/>
      <w:spacing w:val="3"/>
      <w:sz w:val="16"/>
      <w:szCs w:val="20"/>
      <w:lang w:val="es-ES_tradnl" w:eastAsia="es-ES"/>
    </w:rPr>
  </w:style>
  <w:style w:type="character" w:customStyle="1" w:styleId="Ttulo2Car">
    <w:name w:val="Título 2 Car"/>
    <w:basedOn w:val="Fuentedeprrafopredeter"/>
    <w:link w:val="Ttulo2"/>
    <w:rsid w:val="0013684A"/>
    <w:rPr>
      <w:rFonts w:ascii="Arial" w:eastAsia="Times New Roman" w:hAnsi="Arial" w:cs="Times New Roman"/>
      <w:b/>
      <w:snapToGrid w:val="0"/>
      <w:spacing w:val="3"/>
      <w:sz w:val="16"/>
      <w:szCs w:val="20"/>
      <w:lang w:val="es-ES_tradnl" w:eastAsia="es-ES"/>
    </w:rPr>
  </w:style>
  <w:style w:type="character" w:customStyle="1" w:styleId="Ttulo3Car">
    <w:name w:val="Título 3 Car"/>
    <w:basedOn w:val="Fuentedeprrafopredeter"/>
    <w:link w:val="Ttulo3"/>
    <w:rsid w:val="0013684A"/>
    <w:rPr>
      <w:rFonts w:ascii="Arial" w:eastAsia="Times New Roman" w:hAnsi="Arial" w:cs="Times New Roman"/>
      <w:b/>
      <w:snapToGrid w:val="0"/>
      <w:spacing w:val="3"/>
      <w:sz w:val="16"/>
      <w:szCs w:val="20"/>
      <w:lang w:eastAsia="es-ES"/>
    </w:rPr>
  </w:style>
  <w:style w:type="character" w:customStyle="1" w:styleId="Ttulo4Car">
    <w:name w:val="Título 4 Car"/>
    <w:basedOn w:val="Fuentedeprrafopredeter"/>
    <w:link w:val="Ttulo4"/>
    <w:rsid w:val="0013684A"/>
    <w:rPr>
      <w:rFonts w:ascii="Arial" w:eastAsia="Times New Roman" w:hAnsi="Arial" w:cs="Times New Roman"/>
      <w:b/>
      <w:snapToGrid w:val="0"/>
      <w:spacing w:val="3"/>
      <w:sz w:val="16"/>
      <w:szCs w:val="20"/>
      <w:lang w:val="es-ES_tradnl" w:eastAsia="es-ES"/>
    </w:rPr>
  </w:style>
  <w:style w:type="character" w:customStyle="1" w:styleId="Ttulo5Car">
    <w:name w:val="Título 5 Car"/>
    <w:basedOn w:val="Fuentedeprrafopredeter"/>
    <w:link w:val="Ttulo5"/>
    <w:rsid w:val="0013684A"/>
    <w:rPr>
      <w:rFonts w:ascii="Arial" w:eastAsia="Times New Roman" w:hAnsi="Arial" w:cs="Times New Roman"/>
      <w:b/>
      <w:snapToGrid w:val="0"/>
      <w:spacing w:val="3"/>
      <w:sz w:val="16"/>
      <w:szCs w:val="20"/>
      <w:lang w:eastAsia="es-ES"/>
    </w:rPr>
  </w:style>
  <w:style w:type="paragraph" w:styleId="Encabezado">
    <w:name w:val="header"/>
    <w:basedOn w:val="Normal"/>
    <w:link w:val="EncabezadoCar"/>
    <w:uiPriority w:val="99"/>
    <w:rsid w:val="0013684A"/>
    <w:pPr>
      <w:tabs>
        <w:tab w:val="center" w:pos="4252"/>
        <w:tab w:val="right" w:pos="8504"/>
      </w:tabs>
    </w:pPr>
  </w:style>
  <w:style w:type="character" w:customStyle="1" w:styleId="EncabezadoCar">
    <w:name w:val="Encabezado Car"/>
    <w:basedOn w:val="Fuentedeprrafopredeter"/>
    <w:link w:val="Encabezado"/>
    <w:uiPriority w:val="99"/>
    <w:rsid w:val="0013684A"/>
    <w:rPr>
      <w:rFonts w:ascii="Times New Roman" w:eastAsia="Times New Roman" w:hAnsi="Times New Roman" w:cs="Times New Roman"/>
      <w:snapToGrid w:val="0"/>
      <w:sz w:val="20"/>
      <w:szCs w:val="20"/>
      <w:lang w:val="es-ES_tradnl" w:eastAsia="es-ES"/>
    </w:rPr>
  </w:style>
  <w:style w:type="paragraph" w:styleId="Piedepgina">
    <w:name w:val="footer"/>
    <w:basedOn w:val="Normal"/>
    <w:link w:val="PiedepginaCar"/>
    <w:uiPriority w:val="99"/>
    <w:rsid w:val="0013684A"/>
    <w:pPr>
      <w:tabs>
        <w:tab w:val="center" w:pos="4252"/>
        <w:tab w:val="right" w:pos="8504"/>
      </w:tabs>
    </w:pPr>
  </w:style>
  <w:style w:type="character" w:customStyle="1" w:styleId="PiedepginaCar">
    <w:name w:val="Pie de página Car"/>
    <w:basedOn w:val="Fuentedeprrafopredeter"/>
    <w:link w:val="Piedepgina"/>
    <w:uiPriority w:val="99"/>
    <w:rsid w:val="0013684A"/>
    <w:rPr>
      <w:rFonts w:ascii="Times New Roman" w:eastAsia="Times New Roman" w:hAnsi="Times New Roman" w:cs="Times New Roman"/>
      <w:snapToGrid w:val="0"/>
      <w:sz w:val="20"/>
      <w:szCs w:val="20"/>
      <w:lang w:val="es-ES_tradnl" w:eastAsia="es-ES"/>
    </w:rPr>
  </w:style>
  <w:style w:type="character" w:styleId="Nmerodepgina">
    <w:name w:val="page number"/>
    <w:basedOn w:val="Fuentedeprrafopredeter"/>
    <w:rsid w:val="0013684A"/>
  </w:style>
  <w:style w:type="character" w:customStyle="1" w:styleId="Fuentedeencabezadopredeter">
    <w:name w:val="Fuente de encabezado predeter."/>
    <w:rsid w:val="0013684A"/>
  </w:style>
  <w:style w:type="character" w:customStyle="1" w:styleId="Documento4">
    <w:name w:val="Documento 4"/>
    <w:rsid w:val="0013684A"/>
    <w:rPr>
      <w:b/>
      <w:i/>
      <w:sz w:val="24"/>
    </w:rPr>
  </w:style>
  <w:style w:type="character" w:customStyle="1" w:styleId="Bibliogr">
    <w:name w:val="Bibliogr."/>
    <w:basedOn w:val="Fuentedeencabezadopredeter"/>
    <w:rsid w:val="0013684A"/>
  </w:style>
  <w:style w:type="character" w:customStyle="1" w:styleId="Documento5">
    <w:name w:val="Documento 5"/>
    <w:basedOn w:val="Fuentedeencabezadopredeter"/>
    <w:rsid w:val="0013684A"/>
  </w:style>
  <w:style w:type="character" w:customStyle="1" w:styleId="Documento2">
    <w:name w:val="Documento 2"/>
    <w:rsid w:val="0013684A"/>
    <w:rPr>
      <w:rFonts w:ascii="Courier" w:hAnsi="Courier"/>
      <w:noProof w:val="0"/>
      <w:sz w:val="24"/>
      <w:lang w:val="en-US"/>
    </w:rPr>
  </w:style>
  <w:style w:type="character" w:customStyle="1" w:styleId="Documento6">
    <w:name w:val="Documento 6"/>
    <w:basedOn w:val="Fuentedeencabezadopredeter"/>
    <w:rsid w:val="0013684A"/>
  </w:style>
  <w:style w:type="character" w:customStyle="1" w:styleId="Documento7">
    <w:name w:val="Documento 7"/>
    <w:basedOn w:val="Fuentedeencabezadopredeter"/>
    <w:rsid w:val="0013684A"/>
  </w:style>
  <w:style w:type="character" w:customStyle="1" w:styleId="Documento8">
    <w:name w:val="Documento 8"/>
    <w:basedOn w:val="Fuentedeencabezadopredeter"/>
    <w:rsid w:val="0013684A"/>
  </w:style>
  <w:style w:type="character" w:customStyle="1" w:styleId="Documento3">
    <w:name w:val="Documento 3"/>
    <w:rsid w:val="0013684A"/>
    <w:rPr>
      <w:rFonts w:ascii="Courier" w:hAnsi="Courier"/>
      <w:noProof w:val="0"/>
      <w:sz w:val="24"/>
      <w:lang w:val="en-US"/>
    </w:rPr>
  </w:style>
  <w:style w:type="paragraph" w:customStyle="1" w:styleId="Prder1">
    <w:name w:val="PÀÀr. der. 1"/>
    <w:rsid w:val="0013684A"/>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sz w:val="24"/>
      <w:szCs w:val="20"/>
      <w:lang w:val="en-US" w:eastAsia="es-ES"/>
    </w:rPr>
  </w:style>
  <w:style w:type="paragraph" w:customStyle="1" w:styleId="Prder2">
    <w:name w:val="PÀÀr. der. 2"/>
    <w:rsid w:val="0013684A"/>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sz w:val="24"/>
      <w:szCs w:val="20"/>
      <w:lang w:val="en-US" w:eastAsia="es-ES"/>
    </w:rPr>
  </w:style>
  <w:style w:type="paragraph" w:customStyle="1" w:styleId="Prder3">
    <w:name w:val="PÀÀr. der. 3"/>
    <w:rsid w:val="0013684A"/>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sz w:val="24"/>
      <w:szCs w:val="20"/>
      <w:lang w:val="en-US" w:eastAsia="es-ES"/>
    </w:rPr>
  </w:style>
  <w:style w:type="paragraph" w:customStyle="1" w:styleId="Prder4">
    <w:name w:val="PÀÀr. der. 4"/>
    <w:rsid w:val="0013684A"/>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sz w:val="24"/>
      <w:szCs w:val="20"/>
      <w:lang w:val="en-US" w:eastAsia="es-ES"/>
    </w:rPr>
  </w:style>
  <w:style w:type="paragraph" w:customStyle="1" w:styleId="Documento1">
    <w:name w:val="Documento 1"/>
    <w:rsid w:val="0013684A"/>
    <w:pPr>
      <w:keepNext/>
      <w:keepLines/>
      <w:tabs>
        <w:tab w:val="left" w:pos="-720"/>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5">
    <w:name w:val="PÀÀr. der. 5"/>
    <w:rsid w:val="0013684A"/>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sz w:val="24"/>
      <w:szCs w:val="20"/>
      <w:lang w:val="en-US" w:eastAsia="es-ES"/>
    </w:rPr>
  </w:style>
  <w:style w:type="paragraph" w:customStyle="1" w:styleId="Prder6">
    <w:name w:val="PÀÀr. der. 6"/>
    <w:rsid w:val="0013684A"/>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sz w:val="24"/>
      <w:szCs w:val="20"/>
      <w:lang w:val="en-US" w:eastAsia="es-ES"/>
    </w:rPr>
  </w:style>
  <w:style w:type="paragraph" w:customStyle="1" w:styleId="Prder7">
    <w:name w:val="PÀÀr. der. 7"/>
    <w:rsid w:val="001368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sz w:val="24"/>
      <w:szCs w:val="20"/>
      <w:lang w:val="en-US" w:eastAsia="es-ES"/>
    </w:rPr>
  </w:style>
  <w:style w:type="paragraph" w:customStyle="1" w:styleId="Prder8">
    <w:name w:val="PÀÀr. der. 8"/>
    <w:rsid w:val="001368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sz w:val="24"/>
      <w:szCs w:val="20"/>
      <w:lang w:val="en-US" w:eastAsia="es-ES"/>
    </w:rPr>
  </w:style>
  <w:style w:type="character" w:customStyle="1" w:styleId="Tcnico2">
    <w:name w:val="TÀ)Àcnico 2"/>
    <w:rsid w:val="0013684A"/>
    <w:rPr>
      <w:rFonts w:ascii="Courier" w:hAnsi="Courier"/>
      <w:noProof w:val="0"/>
      <w:sz w:val="24"/>
      <w:lang w:val="en-US"/>
    </w:rPr>
  </w:style>
  <w:style w:type="character" w:customStyle="1" w:styleId="Tcnico3">
    <w:name w:val="TÀ)Àcnico 3"/>
    <w:rsid w:val="0013684A"/>
    <w:rPr>
      <w:rFonts w:ascii="Courier" w:hAnsi="Courier"/>
      <w:noProof w:val="0"/>
      <w:sz w:val="24"/>
      <w:lang w:val="en-US"/>
    </w:rPr>
  </w:style>
  <w:style w:type="paragraph" w:customStyle="1" w:styleId="Tcnico4">
    <w:name w:val="TÀ)Àcnico 4"/>
    <w:rsid w:val="0013684A"/>
    <w:pPr>
      <w:tabs>
        <w:tab w:val="left" w:pos="-720"/>
      </w:tabs>
      <w:suppressAutoHyphens/>
      <w:spacing w:after="0" w:line="240" w:lineRule="auto"/>
    </w:pPr>
    <w:rPr>
      <w:rFonts w:ascii="Courier" w:eastAsia="Times New Roman" w:hAnsi="Courier" w:cs="Times New Roman"/>
      <w:b/>
      <w:snapToGrid w:val="0"/>
      <w:sz w:val="24"/>
      <w:szCs w:val="20"/>
      <w:lang w:val="en-US" w:eastAsia="es-ES"/>
    </w:rPr>
  </w:style>
  <w:style w:type="character" w:customStyle="1" w:styleId="Tcnico1">
    <w:name w:val="TÀ)Àcnico 1"/>
    <w:rsid w:val="0013684A"/>
    <w:rPr>
      <w:rFonts w:ascii="Courier" w:hAnsi="Courier"/>
      <w:noProof w:val="0"/>
      <w:sz w:val="24"/>
      <w:lang w:val="en-US"/>
    </w:rPr>
  </w:style>
  <w:style w:type="character" w:customStyle="1" w:styleId="Inicdoc">
    <w:name w:val="Inic. doc."/>
    <w:basedOn w:val="Fuentedeencabezadopredeter"/>
    <w:rsid w:val="0013684A"/>
  </w:style>
  <w:style w:type="paragraph" w:customStyle="1" w:styleId="Tcnico5">
    <w:name w:val="TÀ)Àcnico 5"/>
    <w:rsid w:val="0013684A"/>
    <w:pPr>
      <w:tabs>
        <w:tab w:val="left" w:pos="-720"/>
      </w:tabs>
      <w:suppressAutoHyphens/>
      <w:spacing w:after="0" w:line="240" w:lineRule="auto"/>
      <w:ind w:firstLine="720"/>
    </w:pPr>
    <w:rPr>
      <w:rFonts w:ascii="Courier" w:eastAsia="Times New Roman" w:hAnsi="Courier" w:cs="Times New Roman"/>
      <w:b/>
      <w:snapToGrid w:val="0"/>
      <w:sz w:val="24"/>
      <w:szCs w:val="20"/>
      <w:lang w:val="en-US" w:eastAsia="es-ES"/>
    </w:rPr>
  </w:style>
  <w:style w:type="paragraph" w:customStyle="1" w:styleId="Tcnico6">
    <w:name w:val="TÀ)Àcnico 6"/>
    <w:rsid w:val="0013684A"/>
    <w:pPr>
      <w:tabs>
        <w:tab w:val="left" w:pos="-720"/>
      </w:tabs>
      <w:suppressAutoHyphens/>
      <w:spacing w:after="0" w:line="240" w:lineRule="auto"/>
      <w:ind w:firstLine="720"/>
    </w:pPr>
    <w:rPr>
      <w:rFonts w:ascii="Courier" w:eastAsia="Times New Roman" w:hAnsi="Courier" w:cs="Times New Roman"/>
      <w:b/>
      <w:snapToGrid w:val="0"/>
      <w:sz w:val="24"/>
      <w:szCs w:val="20"/>
      <w:lang w:val="en-US" w:eastAsia="es-ES"/>
    </w:rPr>
  </w:style>
  <w:style w:type="paragraph" w:customStyle="1" w:styleId="Tcnico7">
    <w:name w:val="TÀ)Àcnico 7"/>
    <w:rsid w:val="0013684A"/>
    <w:pPr>
      <w:tabs>
        <w:tab w:val="left" w:pos="-720"/>
      </w:tabs>
      <w:suppressAutoHyphens/>
      <w:spacing w:after="0" w:line="240" w:lineRule="auto"/>
      <w:ind w:firstLine="720"/>
    </w:pPr>
    <w:rPr>
      <w:rFonts w:ascii="Courier" w:eastAsia="Times New Roman" w:hAnsi="Courier" w:cs="Times New Roman"/>
      <w:b/>
      <w:snapToGrid w:val="0"/>
      <w:sz w:val="24"/>
      <w:szCs w:val="20"/>
      <w:lang w:val="en-US" w:eastAsia="es-ES"/>
    </w:rPr>
  </w:style>
  <w:style w:type="paragraph" w:customStyle="1" w:styleId="Tcnico8">
    <w:name w:val="TÀ)Àcnico 8"/>
    <w:rsid w:val="0013684A"/>
    <w:pPr>
      <w:tabs>
        <w:tab w:val="left" w:pos="-720"/>
      </w:tabs>
      <w:suppressAutoHyphens/>
      <w:spacing w:after="0" w:line="240" w:lineRule="auto"/>
      <w:ind w:firstLine="720"/>
    </w:pPr>
    <w:rPr>
      <w:rFonts w:ascii="Courier" w:eastAsia="Times New Roman" w:hAnsi="Courier" w:cs="Times New Roman"/>
      <w:b/>
      <w:snapToGrid w:val="0"/>
      <w:sz w:val="24"/>
      <w:szCs w:val="20"/>
      <w:lang w:val="en-US" w:eastAsia="es-ES"/>
    </w:rPr>
  </w:style>
  <w:style w:type="character" w:customStyle="1" w:styleId="Inicestt">
    <w:name w:val="Inic. est. t"/>
    <w:rsid w:val="0013684A"/>
    <w:rPr>
      <w:rFonts w:ascii="Courier" w:hAnsi="Courier"/>
      <w:noProof w:val="0"/>
      <w:sz w:val="24"/>
      <w:lang w:val="en-US"/>
    </w:rPr>
  </w:style>
  <w:style w:type="paragraph" w:customStyle="1" w:styleId="Escrlegal">
    <w:name w:val="Escr. legal"/>
    <w:rsid w:val="0013684A"/>
    <w:pPr>
      <w:tabs>
        <w:tab w:val="left" w:pos="-720"/>
      </w:tabs>
      <w:suppressAutoHyphens/>
      <w:spacing w:after="0" w:line="240" w:lineRule="exact"/>
    </w:pPr>
    <w:rPr>
      <w:rFonts w:ascii="Courier" w:eastAsia="Times New Roman" w:hAnsi="Courier" w:cs="Times New Roman"/>
      <w:snapToGrid w:val="0"/>
      <w:sz w:val="24"/>
      <w:szCs w:val="20"/>
      <w:lang w:val="en-US" w:eastAsia="es-ES"/>
    </w:rPr>
  </w:style>
  <w:style w:type="character" w:customStyle="1" w:styleId="DefaultParagraphFo">
    <w:name w:val="Default Paragraph Fo"/>
    <w:basedOn w:val="Fuentedeencabezadopredeter"/>
    <w:rsid w:val="0013684A"/>
  </w:style>
  <w:style w:type="character" w:customStyle="1" w:styleId="Fuentedeencabezado">
    <w:name w:val="Fuente de encabezado"/>
    <w:basedOn w:val="Fuentedeencabezadopredeter"/>
    <w:rsid w:val="0013684A"/>
  </w:style>
  <w:style w:type="character" w:customStyle="1" w:styleId="Documento4a">
    <w:name w:val="Documento 4a"/>
    <w:rsid w:val="0013684A"/>
    <w:rPr>
      <w:b/>
      <w:i/>
      <w:sz w:val="24"/>
    </w:rPr>
  </w:style>
  <w:style w:type="character" w:customStyle="1" w:styleId="Documento5a">
    <w:name w:val="Documento 5a"/>
    <w:basedOn w:val="Fuentedeencabezadopredeter"/>
    <w:rsid w:val="0013684A"/>
  </w:style>
  <w:style w:type="character" w:customStyle="1" w:styleId="Documento2a">
    <w:name w:val="Documento 2a"/>
    <w:basedOn w:val="Fuentedeencabezadopredeter"/>
    <w:rsid w:val="0013684A"/>
  </w:style>
  <w:style w:type="character" w:customStyle="1" w:styleId="Documento6a">
    <w:name w:val="Documento 6a"/>
    <w:basedOn w:val="Fuentedeencabezadopredeter"/>
    <w:rsid w:val="0013684A"/>
  </w:style>
  <w:style w:type="character" w:customStyle="1" w:styleId="Documento7a">
    <w:name w:val="Documento 7a"/>
    <w:basedOn w:val="Fuentedeencabezadopredeter"/>
    <w:rsid w:val="0013684A"/>
  </w:style>
  <w:style w:type="character" w:customStyle="1" w:styleId="Documento8a">
    <w:name w:val="Documento 8a"/>
    <w:basedOn w:val="Fuentedeencabezadopredeter"/>
    <w:rsid w:val="0013684A"/>
  </w:style>
  <w:style w:type="character" w:customStyle="1" w:styleId="Documento3a">
    <w:name w:val="Documento 3a"/>
    <w:basedOn w:val="Fuentedeencabezadopredeter"/>
    <w:rsid w:val="0013684A"/>
  </w:style>
  <w:style w:type="paragraph" w:customStyle="1" w:styleId="Prder1a">
    <w:name w:val="PÀÀr. der. 1a"/>
    <w:rsid w:val="0013684A"/>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2a">
    <w:name w:val="PÀÀr. der. 2a"/>
    <w:rsid w:val="0013684A"/>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3a">
    <w:name w:val="PÀÀr. der. 3a"/>
    <w:rsid w:val="0013684A"/>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4a">
    <w:name w:val="PÀÀr. der. 4a"/>
    <w:rsid w:val="0013684A"/>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Documento1a">
    <w:name w:val="Documento 1a"/>
    <w:rsid w:val="0013684A"/>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5a">
    <w:name w:val="PÀÀr. der. 5a"/>
    <w:rsid w:val="0013684A"/>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6a">
    <w:name w:val="PÀÀr. der. 6a"/>
    <w:rsid w:val="0013684A"/>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7a">
    <w:name w:val="PÀÀr. der. 7a"/>
    <w:rsid w:val="0013684A"/>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paragraph" w:customStyle="1" w:styleId="Prder8a">
    <w:name w:val="PÀÀr. der. 8a"/>
    <w:rsid w:val="0013684A"/>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sz w:val="24"/>
      <w:szCs w:val="20"/>
      <w:lang w:val="en-US" w:eastAsia="es-ES"/>
    </w:rPr>
  </w:style>
  <w:style w:type="character" w:customStyle="1" w:styleId="Tcnico2a">
    <w:name w:val="TÀ)Àcnico 2a"/>
    <w:basedOn w:val="Fuentedeencabezadopredeter"/>
    <w:rsid w:val="0013684A"/>
  </w:style>
  <w:style w:type="character" w:customStyle="1" w:styleId="Tcnico3a">
    <w:name w:val="TÀ)Àcnico 3a"/>
    <w:basedOn w:val="Fuentedeencabezadopredeter"/>
    <w:rsid w:val="0013684A"/>
  </w:style>
  <w:style w:type="paragraph" w:customStyle="1" w:styleId="Tcnico4a">
    <w:name w:val="TÀ)Àcnico 4a"/>
    <w:rsid w:val="0013684A"/>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sz w:val="24"/>
      <w:szCs w:val="20"/>
      <w:lang w:val="en-US" w:eastAsia="es-ES"/>
    </w:rPr>
  </w:style>
  <w:style w:type="character" w:customStyle="1" w:styleId="Tcnico1a">
    <w:name w:val="TÀ)Àcnico 1a"/>
    <w:basedOn w:val="Fuentedeencabezadopredeter"/>
    <w:rsid w:val="0013684A"/>
  </w:style>
  <w:style w:type="paragraph" w:customStyle="1" w:styleId="Tcnico5a">
    <w:name w:val="TÀ)Àcnico 5a"/>
    <w:rsid w:val="0013684A"/>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sz w:val="24"/>
      <w:szCs w:val="20"/>
      <w:lang w:val="en-US" w:eastAsia="es-ES"/>
    </w:rPr>
  </w:style>
  <w:style w:type="paragraph" w:customStyle="1" w:styleId="Tcnico6a">
    <w:name w:val="TÀ)Àcnico 6a"/>
    <w:rsid w:val="0013684A"/>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sz w:val="24"/>
      <w:szCs w:val="20"/>
      <w:lang w:val="en-US" w:eastAsia="es-ES"/>
    </w:rPr>
  </w:style>
  <w:style w:type="paragraph" w:customStyle="1" w:styleId="Tcnico7a">
    <w:name w:val="TÀ)Àcnico 7a"/>
    <w:rsid w:val="0013684A"/>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sz w:val="24"/>
      <w:szCs w:val="20"/>
      <w:lang w:val="en-US" w:eastAsia="es-ES"/>
    </w:rPr>
  </w:style>
  <w:style w:type="paragraph" w:customStyle="1" w:styleId="Tcnico8a">
    <w:name w:val="TÀ)Àcnico 8a"/>
    <w:rsid w:val="0013684A"/>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sz w:val="24"/>
      <w:szCs w:val="20"/>
      <w:lang w:val="en-US" w:eastAsia="es-ES"/>
    </w:rPr>
  </w:style>
  <w:style w:type="character" w:customStyle="1" w:styleId="EquationCaption">
    <w:name w:val="_Equation Caption"/>
    <w:basedOn w:val="Fuentedeencabezadopredeter"/>
    <w:rsid w:val="0013684A"/>
  </w:style>
  <w:style w:type="paragraph" w:customStyle="1" w:styleId="ndice1">
    <w:name w:val="índice 1"/>
    <w:basedOn w:val="Normal"/>
    <w:rsid w:val="0013684A"/>
    <w:pPr>
      <w:tabs>
        <w:tab w:val="left" w:leader="dot" w:pos="9000"/>
        <w:tab w:val="right" w:pos="9360"/>
      </w:tabs>
      <w:suppressAutoHyphens/>
      <w:ind w:left="1440" w:right="720" w:hanging="1440"/>
    </w:pPr>
    <w:rPr>
      <w:rFonts w:ascii="Courier" w:hAnsi="Courier"/>
      <w:sz w:val="24"/>
      <w:lang w:val="en-US"/>
    </w:rPr>
  </w:style>
  <w:style w:type="paragraph" w:customStyle="1" w:styleId="ndice2">
    <w:name w:val="índice 2"/>
    <w:basedOn w:val="Normal"/>
    <w:rsid w:val="0013684A"/>
    <w:pPr>
      <w:tabs>
        <w:tab w:val="left" w:leader="dot" w:pos="9000"/>
        <w:tab w:val="right" w:pos="9360"/>
      </w:tabs>
      <w:suppressAutoHyphens/>
      <w:ind w:left="1440" w:right="720" w:hanging="720"/>
    </w:pPr>
    <w:rPr>
      <w:rFonts w:ascii="Courier" w:hAnsi="Courier"/>
      <w:sz w:val="24"/>
      <w:lang w:val="en-US"/>
    </w:rPr>
  </w:style>
  <w:style w:type="paragraph" w:customStyle="1" w:styleId="toa">
    <w:name w:val="toa"/>
    <w:basedOn w:val="Normal"/>
    <w:uiPriority w:val="99"/>
    <w:rsid w:val="0013684A"/>
    <w:pPr>
      <w:tabs>
        <w:tab w:val="left" w:pos="9000"/>
        <w:tab w:val="right" w:pos="9360"/>
      </w:tabs>
      <w:suppressAutoHyphens/>
    </w:pPr>
    <w:rPr>
      <w:rFonts w:ascii="Courier" w:hAnsi="Courier"/>
      <w:sz w:val="24"/>
      <w:lang w:val="en-US"/>
    </w:rPr>
  </w:style>
  <w:style w:type="paragraph" w:customStyle="1" w:styleId="epgrafe">
    <w:name w:val="epígrafe"/>
    <w:basedOn w:val="Normal"/>
    <w:rsid w:val="0013684A"/>
    <w:rPr>
      <w:rFonts w:ascii="Courier" w:hAnsi="Courier"/>
      <w:sz w:val="24"/>
    </w:rPr>
  </w:style>
  <w:style w:type="character" w:customStyle="1" w:styleId="EquationCaption1">
    <w:name w:val="_Equation Caption1"/>
    <w:rsid w:val="0013684A"/>
  </w:style>
  <w:style w:type="paragraph" w:styleId="Textoindependiente">
    <w:name w:val="Body Text"/>
    <w:basedOn w:val="Normal"/>
    <w:link w:val="TextoindependienteCar"/>
    <w:rsid w:val="0013684A"/>
    <w:pPr>
      <w:spacing w:line="240" w:lineRule="atLeast"/>
      <w:jc w:val="both"/>
    </w:pPr>
    <w:rPr>
      <w:rFonts w:ascii="Arial" w:hAnsi="Arial"/>
      <w:spacing w:val="20"/>
      <w:sz w:val="16"/>
    </w:rPr>
  </w:style>
  <w:style w:type="character" w:customStyle="1" w:styleId="TextoindependienteCar">
    <w:name w:val="Texto independiente Car"/>
    <w:basedOn w:val="Fuentedeprrafopredeter"/>
    <w:link w:val="Textoindependiente"/>
    <w:rsid w:val="0013684A"/>
    <w:rPr>
      <w:rFonts w:ascii="Arial" w:eastAsia="Times New Roman" w:hAnsi="Arial" w:cs="Times New Roman"/>
      <w:snapToGrid w:val="0"/>
      <w:spacing w:val="20"/>
      <w:sz w:val="16"/>
      <w:szCs w:val="20"/>
      <w:lang w:val="es-ES_tradnl" w:eastAsia="es-ES"/>
    </w:rPr>
  </w:style>
  <w:style w:type="paragraph" w:styleId="Sangradetextonormal">
    <w:name w:val="Body Text Indent"/>
    <w:basedOn w:val="Normal"/>
    <w:link w:val="SangradetextonormalCar"/>
    <w:rsid w:val="0013684A"/>
    <w:pPr>
      <w:ind w:left="2127" w:hanging="1410"/>
      <w:jc w:val="both"/>
    </w:pPr>
    <w:rPr>
      <w:rFonts w:ascii="Arial" w:hAnsi="Arial"/>
      <w:sz w:val="22"/>
      <w:lang w:val="es-MX"/>
    </w:rPr>
  </w:style>
  <w:style w:type="character" w:customStyle="1" w:styleId="SangradetextonormalCar">
    <w:name w:val="Sangría de texto normal Car"/>
    <w:basedOn w:val="Fuentedeprrafopredeter"/>
    <w:link w:val="Sangradetextonormal"/>
    <w:rsid w:val="0013684A"/>
    <w:rPr>
      <w:rFonts w:ascii="Arial" w:eastAsia="Times New Roman" w:hAnsi="Arial" w:cs="Times New Roman"/>
      <w:snapToGrid w:val="0"/>
      <w:szCs w:val="20"/>
      <w:lang w:val="es-MX" w:eastAsia="es-ES"/>
    </w:rPr>
  </w:style>
  <w:style w:type="paragraph" w:styleId="Ttulo">
    <w:name w:val="Title"/>
    <w:basedOn w:val="Normal"/>
    <w:link w:val="TtuloCar"/>
    <w:uiPriority w:val="99"/>
    <w:qFormat/>
    <w:rsid w:val="0013684A"/>
    <w:pPr>
      <w:spacing w:line="240" w:lineRule="atLeast"/>
      <w:ind w:left="1474" w:hanging="1474"/>
      <w:jc w:val="center"/>
    </w:pPr>
    <w:rPr>
      <w:rFonts w:ascii="Arial" w:hAnsi="Arial"/>
      <w:b/>
      <w:spacing w:val="20"/>
      <w:sz w:val="16"/>
    </w:rPr>
  </w:style>
  <w:style w:type="character" w:customStyle="1" w:styleId="TtuloCar">
    <w:name w:val="Título Car"/>
    <w:basedOn w:val="Fuentedeprrafopredeter"/>
    <w:link w:val="Ttulo"/>
    <w:uiPriority w:val="99"/>
    <w:rsid w:val="0013684A"/>
    <w:rPr>
      <w:rFonts w:ascii="Arial" w:eastAsia="Times New Roman" w:hAnsi="Arial" w:cs="Times New Roman"/>
      <w:b/>
      <w:snapToGrid w:val="0"/>
      <w:spacing w:val="20"/>
      <w:sz w:val="16"/>
      <w:szCs w:val="20"/>
      <w:lang w:val="es-ES_tradnl" w:eastAsia="es-ES"/>
    </w:rPr>
  </w:style>
  <w:style w:type="paragraph" w:styleId="Sangra2detindependiente">
    <w:name w:val="Body Text Indent 2"/>
    <w:basedOn w:val="Normal"/>
    <w:link w:val="Sangra2detindependienteCar"/>
    <w:rsid w:val="0013684A"/>
    <w:pPr>
      <w:suppressAutoHyphens/>
      <w:ind w:left="284" w:hanging="284"/>
      <w:jc w:val="both"/>
    </w:pPr>
    <w:rPr>
      <w:snapToGrid/>
      <w:sz w:val="24"/>
    </w:rPr>
  </w:style>
  <w:style w:type="character" w:customStyle="1" w:styleId="Sangra2detindependienteCar">
    <w:name w:val="Sangría 2 de t. independiente Car"/>
    <w:basedOn w:val="Fuentedeprrafopredeter"/>
    <w:link w:val="Sangra2detindependiente"/>
    <w:rsid w:val="0013684A"/>
    <w:rPr>
      <w:rFonts w:ascii="Times New Roman" w:eastAsia="Times New Roman" w:hAnsi="Times New Roman" w:cs="Times New Roman"/>
      <w:sz w:val="24"/>
      <w:szCs w:val="20"/>
      <w:lang w:val="es-ES_tradnl" w:eastAsia="es-ES"/>
    </w:rPr>
  </w:style>
  <w:style w:type="character" w:styleId="Refdecomentario">
    <w:name w:val="annotation reference"/>
    <w:semiHidden/>
    <w:rsid w:val="0013684A"/>
    <w:rPr>
      <w:sz w:val="16"/>
      <w:szCs w:val="16"/>
    </w:rPr>
  </w:style>
  <w:style w:type="paragraph" w:styleId="Textocomentario">
    <w:name w:val="annotation text"/>
    <w:basedOn w:val="Normal"/>
    <w:link w:val="TextocomentarioCar"/>
    <w:uiPriority w:val="99"/>
    <w:semiHidden/>
    <w:rsid w:val="0013684A"/>
  </w:style>
  <w:style w:type="character" w:customStyle="1" w:styleId="TextocomentarioCar">
    <w:name w:val="Texto comentario Car"/>
    <w:basedOn w:val="Fuentedeprrafopredeter"/>
    <w:link w:val="Textocomentario"/>
    <w:uiPriority w:val="99"/>
    <w:semiHidden/>
    <w:rsid w:val="0013684A"/>
    <w:rPr>
      <w:rFonts w:ascii="Times New Roman" w:eastAsia="Times New Roman" w:hAnsi="Times New Roman" w:cs="Times New Roman"/>
      <w:snapToGrid w:val="0"/>
      <w:sz w:val="20"/>
      <w:szCs w:val="20"/>
      <w:lang w:val="es-ES_tradnl" w:eastAsia="es-ES"/>
    </w:rPr>
  </w:style>
  <w:style w:type="paragraph" w:styleId="Asuntodelcomentario">
    <w:name w:val="annotation subject"/>
    <w:basedOn w:val="Textocomentario"/>
    <w:next w:val="Textocomentario"/>
    <w:link w:val="AsuntodelcomentarioCar"/>
    <w:semiHidden/>
    <w:rsid w:val="0013684A"/>
    <w:rPr>
      <w:b/>
      <w:bCs/>
    </w:rPr>
  </w:style>
  <w:style w:type="character" w:customStyle="1" w:styleId="AsuntodelcomentarioCar">
    <w:name w:val="Asunto del comentario Car"/>
    <w:basedOn w:val="TextocomentarioCar"/>
    <w:link w:val="Asuntodelcomentario"/>
    <w:semiHidden/>
    <w:rsid w:val="0013684A"/>
    <w:rPr>
      <w:rFonts w:ascii="Times New Roman" w:eastAsia="Times New Roman" w:hAnsi="Times New Roman" w:cs="Times New Roman"/>
      <w:b/>
      <w:bCs/>
      <w:snapToGrid w:val="0"/>
      <w:sz w:val="20"/>
      <w:szCs w:val="20"/>
      <w:lang w:val="es-ES_tradnl" w:eastAsia="es-ES"/>
    </w:rPr>
  </w:style>
  <w:style w:type="paragraph" w:styleId="Textodeglobo">
    <w:name w:val="Balloon Text"/>
    <w:basedOn w:val="Normal"/>
    <w:link w:val="TextodegloboCar"/>
    <w:semiHidden/>
    <w:rsid w:val="0013684A"/>
    <w:rPr>
      <w:rFonts w:ascii="Tahoma" w:hAnsi="Tahoma"/>
      <w:sz w:val="16"/>
      <w:szCs w:val="16"/>
    </w:rPr>
  </w:style>
  <w:style w:type="character" w:customStyle="1" w:styleId="TextodegloboCar">
    <w:name w:val="Texto de globo Car"/>
    <w:basedOn w:val="Fuentedeprrafopredeter"/>
    <w:link w:val="Textodeglobo"/>
    <w:semiHidden/>
    <w:rsid w:val="0013684A"/>
    <w:rPr>
      <w:rFonts w:ascii="Tahoma" w:eastAsia="Times New Roman" w:hAnsi="Tahoma" w:cs="Times New Roman"/>
      <w:snapToGrid w:val="0"/>
      <w:sz w:val="16"/>
      <w:szCs w:val="16"/>
      <w:lang w:val="es-ES_tradnl" w:eastAsia="es-ES"/>
    </w:rPr>
  </w:style>
  <w:style w:type="paragraph" w:styleId="Textonotapie">
    <w:name w:val="footnote text"/>
    <w:basedOn w:val="Normal"/>
    <w:link w:val="TextonotapieCar"/>
    <w:rsid w:val="0013684A"/>
  </w:style>
  <w:style w:type="character" w:customStyle="1" w:styleId="TextonotapieCar">
    <w:name w:val="Texto nota pie Car"/>
    <w:basedOn w:val="Fuentedeprrafopredeter"/>
    <w:link w:val="Textonotapie"/>
    <w:rsid w:val="0013684A"/>
    <w:rPr>
      <w:rFonts w:ascii="Times New Roman" w:eastAsia="Times New Roman" w:hAnsi="Times New Roman" w:cs="Times New Roman"/>
      <w:snapToGrid w:val="0"/>
      <w:sz w:val="20"/>
      <w:szCs w:val="20"/>
      <w:lang w:val="es-ES_tradnl" w:eastAsia="es-ES"/>
    </w:rPr>
  </w:style>
  <w:style w:type="character" w:styleId="Refdenotaalpie">
    <w:name w:val="footnote reference"/>
    <w:semiHidden/>
    <w:rsid w:val="0013684A"/>
    <w:rPr>
      <w:vertAlign w:val="superscript"/>
    </w:rPr>
  </w:style>
  <w:style w:type="paragraph" w:styleId="Prrafodelista">
    <w:name w:val="List Paragraph"/>
    <w:basedOn w:val="Normal"/>
    <w:uiPriority w:val="34"/>
    <w:qFormat/>
    <w:rsid w:val="0013684A"/>
    <w:pPr>
      <w:ind w:left="720"/>
      <w:contextualSpacing/>
    </w:pPr>
  </w:style>
  <w:style w:type="character" w:styleId="Hipervnculo">
    <w:name w:val="Hyperlink"/>
    <w:uiPriority w:val="99"/>
    <w:unhideWhenUsed/>
    <w:rsid w:val="0013684A"/>
    <w:rPr>
      <w:color w:val="0000FF"/>
      <w:u w:val="single"/>
    </w:rPr>
  </w:style>
  <w:style w:type="character" w:styleId="Hipervnculovisitado">
    <w:name w:val="FollowedHyperlink"/>
    <w:uiPriority w:val="99"/>
    <w:unhideWhenUsed/>
    <w:rsid w:val="0013684A"/>
    <w:rPr>
      <w:color w:val="800080"/>
      <w:u w:val="single"/>
    </w:rPr>
  </w:style>
  <w:style w:type="paragraph" w:customStyle="1" w:styleId="xl69">
    <w:name w:val="xl69"/>
    <w:basedOn w:val="Normal"/>
    <w:rsid w:val="0013684A"/>
    <w:pPr>
      <w:shd w:val="clear" w:color="000000" w:fill="FFFFFF"/>
      <w:spacing w:before="100" w:beforeAutospacing="1" w:after="100" w:afterAutospacing="1"/>
    </w:pPr>
    <w:rPr>
      <w:snapToGrid/>
      <w:sz w:val="18"/>
      <w:szCs w:val="18"/>
      <w:lang w:val="es-CO" w:eastAsia="es-CO"/>
    </w:rPr>
  </w:style>
  <w:style w:type="paragraph" w:customStyle="1" w:styleId="xl70">
    <w:name w:val="xl70"/>
    <w:basedOn w:val="Normal"/>
    <w:rsid w:val="0013684A"/>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xl71">
    <w:name w:val="xl71"/>
    <w:basedOn w:val="Normal"/>
    <w:rsid w:val="0013684A"/>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jc w:val="both"/>
      <w:textAlignment w:val="center"/>
    </w:pPr>
    <w:rPr>
      <w:rFonts w:ascii="Arial" w:hAnsi="Arial" w:cs="Arial"/>
      <w:snapToGrid/>
      <w:sz w:val="18"/>
      <w:szCs w:val="18"/>
      <w:lang w:val="es-CO" w:eastAsia="es-CO"/>
    </w:rPr>
  </w:style>
  <w:style w:type="paragraph" w:customStyle="1" w:styleId="xl72">
    <w:name w:val="xl72"/>
    <w:basedOn w:val="Normal"/>
    <w:rsid w:val="00136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xl73">
    <w:name w:val="xl73"/>
    <w:basedOn w:val="Normal"/>
    <w:rsid w:val="0013684A"/>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Default">
    <w:name w:val="Default"/>
    <w:rsid w:val="0013684A"/>
    <w:pPr>
      <w:autoSpaceDE w:val="0"/>
      <w:autoSpaceDN w:val="0"/>
      <w:adjustRightInd w:val="0"/>
      <w:spacing w:after="0" w:line="240" w:lineRule="auto"/>
    </w:pPr>
    <w:rPr>
      <w:rFonts w:ascii="Arial" w:eastAsia="Calibri" w:hAnsi="Arial" w:cs="Arial"/>
      <w:color w:val="000000"/>
      <w:sz w:val="24"/>
      <w:szCs w:val="24"/>
    </w:rPr>
  </w:style>
  <w:style w:type="paragraph" w:customStyle="1" w:styleId="xl74">
    <w:name w:val="xl74"/>
    <w:basedOn w:val="Normal"/>
    <w:rsid w:val="00136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xl75">
    <w:name w:val="xl75"/>
    <w:basedOn w:val="Normal"/>
    <w:rsid w:val="0013684A"/>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xl76">
    <w:name w:val="xl76"/>
    <w:basedOn w:val="Normal"/>
    <w:rsid w:val="0013684A"/>
    <w:pPr>
      <w:shd w:val="clear" w:color="000000" w:fill="FFFFFF"/>
      <w:spacing w:before="100" w:beforeAutospacing="1" w:after="100" w:afterAutospacing="1"/>
      <w:jc w:val="center"/>
      <w:textAlignment w:val="center"/>
    </w:pPr>
    <w:rPr>
      <w:rFonts w:ascii="Arial" w:hAnsi="Arial" w:cs="Arial"/>
      <w:snapToGrid/>
      <w:sz w:val="18"/>
      <w:szCs w:val="18"/>
      <w:lang w:val="es-CO" w:eastAsia="es-CO"/>
    </w:rPr>
  </w:style>
  <w:style w:type="paragraph" w:customStyle="1" w:styleId="xl77">
    <w:name w:val="xl77"/>
    <w:basedOn w:val="Normal"/>
    <w:rsid w:val="001368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napToGrid/>
      <w:sz w:val="18"/>
      <w:szCs w:val="18"/>
      <w:lang w:val="es-CO" w:eastAsia="es-CO"/>
    </w:rPr>
  </w:style>
  <w:style w:type="paragraph" w:styleId="NormalWeb">
    <w:name w:val="Normal (Web)"/>
    <w:basedOn w:val="Normal"/>
    <w:uiPriority w:val="99"/>
    <w:unhideWhenUsed/>
    <w:rsid w:val="0013684A"/>
    <w:pPr>
      <w:spacing w:before="100" w:beforeAutospacing="1" w:after="100" w:afterAutospacing="1"/>
    </w:pPr>
    <w:rPr>
      <w:snapToGrid/>
      <w:sz w:val="24"/>
      <w:szCs w:val="24"/>
      <w:lang w:val="es-CO" w:eastAsia="es-CO"/>
    </w:rPr>
  </w:style>
  <w:style w:type="paragraph" w:styleId="Revisin">
    <w:name w:val="Revision"/>
    <w:hidden/>
    <w:uiPriority w:val="99"/>
    <w:semiHidden/>
    <w:rsid w:val="0013684A"/>
    <w:pPr>
      <w:spacing w:after="0" w:line="240" w:lineRule="auto"/>
    </w:pPr>
    <w:rPr>
      <w:rFonts w:ascii="Times New Roman" w:eastAsia="Times New Roman" w:hAnsi="Times New Roman" w:cs="Times New Roman"/>
      <w:snapToGrid w:val="0"/>
      <w:sz w:val="20"/>
      <w:szCs w:val="20"/>
      <w:lang w:val="es-ES_tradnl" w:eastAsia="es-ES"/>
    </w:rPr>
  </w:style>
  <w:style w:type="paragraph" w:customStyle="1" w:styleId="xl78">
    <w:name w:val="xl78"/>
    <w:basedOn w:val="Normal"/>
    <w:rsid w:val="0013684A"/>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jc w:val="center"/>
      <w:textAlignment w:val="center"/>
    </w:pPr>
    <w:rPr>
      <w:rFonts w:ascii="Arial" w:hAnsi="Arial" w:cs="Arial"/>
      <w:b/>
      <w:bCs/>
      <w:snapToGrid/>
      <w:sz w:val="16"/>
      <w:szCs w:val="16"/>
      <w:lang w:val="es-CO" w:eastAsia="es-CO"/>
    </w:rPr>
  </w:style>
  <w:style w:type="paragraph" w:customStyle="1" w:styleId="xl79">
    <w:name w:val="xl79"/>
    <w:basedOn w:val="Normal"/>
    <w:rsid w:val="0013684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hAnsi="Arial" w:cs="Arial"/>
      <w:snapToGrid/>
      <w:sz w:val="16"/>
      <w:szCs w:val="16"/>
      <w:lang w:val="es-CO" w:eastAsia="es-CO"/>
    </w:rPr>
  </w:style>
  <w:style w:type="paragraph" w:customStyle="1" w:styleId="xl80">
    <w:name w:val="xl80"/>
    <w:basedOn w:val="Normal"/>
    <w:rsid w:val="0013684A"/>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jc w:val="both"/>
      <w:textAlignment w:val="center"/>
    </w:pPr>
    <w:rPr>
      <w:rFonts w:ascii="Arial" w:hAnsi="Arial" w:cs="Arial"/>
      <w:snapToGrid/>
      <w:sz w:val="16"/>
      <w:szCs w:val="16"/>
      <w:lang w:val="es-CO" w:eastAsia="es-CO"/>
    </w:rPr>
  </w:style>
  <w:style w:type="paragraph" w:customStyle="1" w:styleId="xl81">
    <w:name w:val="xl81"/>
    <w:basedOn w:val="Normal"/>
    <w:rsid w:val="0013684A"/>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jc w:val="center"/>
      <w:textAlignment w:val="center"/>
    </w:pPr>
    <w:rPr>
      <w:rFonts w:ascii="Arial" w:hAnsi="Arial" w:cs="Arial"/>
      <w:snapToGrid/>
      <w:sz w:val="16"/>
      <w:szCs w:val="16"/>
      <w:lang w:val="es-CO" w:eastAsia="es-CO"/>
    </w:rPr>
  </w:style>
  <w:style w:type="paragraph" w:customStyle="1" w:styleId="xl82">
    <w:name w:val="xl82"/>
    <w:basedOn w:val="Normal"/>
    <w:rsid w:val="0013684A"/>
    <w:pPr>
      <w:shd w:val="clear" w:color="000000" w:fill="C0504D"/>
      <w:spacing w:before="100" w:beforeAutospacing="1" w:after="100" w:afterAutospacing="1"/>
    </w:pPr>
    <w:rPr>
      <w:rFonts w:ascii="Arial" w:hAnsi="Arial" w:cs="Arial"/>
      <w:snapToGrid/>
      <w:sz w:val="16"/>
      <w:szCs w:val="16"/>
      <w:lang w:val="es-CO" w:eastAsia="es-CO"/>
    </w:rPr>
  </w:style>
  <w:style w:type="paragraph" w:customStyle="1" w:styleId="xl83">
    <w:name w:val="xl83"/>
    <w:basedOn w:val="Normal"/>
    <w:rsid w:val="0013684A"/>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textAlignment w:val="center"/>
    </w:pPr>
    <w:rPr>
      <w:rFonts w:ascii="Arial" w:hAnsi="Arial" w:cs="Arial"/>
      <w:snapToGrid/>
      <w:sz w:val="16"/>
      <w:szCs w:val="16"/>
      <w:lang w:val="es-CO" w:eastAsia="es-CO"/>
    </w:rPr>
  </w:style>
  <w:style w:type="paragraph" w:customStyle="1" w:styleId="xl84">
    <w:name w:val="xl84"/>
    <w:basedOn w:val="Normal"/>
    <w:rsid w:val="0013684A"/>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rFonts w:ascii="Arial" w:hAnsi="Arial" w:cs="Arial"/>
      <w:snapToGrid/>
      <w:sz w:val="16"/>
      <w:szCs w:val="16"/>
      <w:lang w:val="es-CO" w:eastAsia="es-CO"/>
    </w:rPr>
  </w:style>
  <w:style w:type="paragraph" w:customStyle="1" w:styleId="xl85">
    <w:name w:val="xl85"/>
    <w:basedOn w:val="Normal"/>
    <w:rsid w:val="0013684A"/>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jc w:val="center"/>
      <w:textAlignment w:val="center"/>
    </w:pPr>
    <w:rPr>
      <w:rFonts w:ascii="Arial" w:hAnsi="Arial" w:cs="Arial"/>
      <w:snapToGrid/>
      <w:sz w:val="16"/>
      <w:szCs w:val="16"/>
      <w:lang w:val="es-CO" w:eastAsia="es-CO"/>
    </w:rPr>
  </w:style>
  <w:style w:type="paragraph" w:customStyle="1" w:styleId="xl86">
    <w:name w:val="xl86"/>
    <w:basedOn w:val="Normal"/>
    <w:rsid w:val="0013684A"/>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jc w:val="both"/>
      <w:textAlignment w:val="center"/>
    </w:pPr>
    <w:rPr>
      <w:rFonts w:ascii="Arial" w:hAnsi="Arial" w:cs="Arial"/>
      <w:snapToGrid/>
      <w:sz w:val="16"/>
      <w:szCs w:val="16"/>
      <w:lang w:val="es-CO" w:eastAsia="es-CO"/>
    </w:rPr>
  </w:style>
  <w:style w:type="paragraph" w:styleId="Sinespaciado">
    <w:name w:val="No Spacing"/>
    <w:uiPriority w:val="1"/>
    <w:qFormat/>
    <w:rsid w:val="0013684A"/>
    <w:pPr>
      <w:spacing w:after="0" w:line="240" w:lineRule="auto"/>
    </w:pPr>
    <w:rPr>
      <w:rFonts w:ascii="Calibri" w:eastAsia="Calibri" w:hAnsi="Calibri" w:cs="Times New Roman"/>
    </w:rPr>
  </w:style>
  <w:style w:type="paragraph" w:styleId="TDC1">
    <w:name w:val="toc 1"/>
    <w:basedOn w:val="Normal"/>
    <w:next w:val="Normal"/>
    <w:autoRedefine/>
    <w:uiPriority w:val="39"/>
    <w:rsid w:val="0013684A"/>
    <w:pPr>
      <w:spacing w:before="120" w:after="120"/>
    </w:pPr>
    <w:rPr>
      <w:rFonts w:ascii="Calibri" w:hAnsi="Calibri" w:cs="Calibri"/>
      <w:b/>
      <w:bCs/>
      <w:caps/>
    </w:rPr>
  </w:style>
  <w:style w:type="paragraph" w:styleId="TDC2">
    <w:name w:val="toc 2"/>
    <w:basedOn w:val="Normal"/>
    <w:next w:val="Normal"/>
    <w:autoRedefine/>
    <w:uiPriority w:val="39"/>
    <w:rsid w:val="0013684A"/>
    <w:pPr>
      <w:ind w:left="200"/>
    </w:pPr>
    <w:rPr>
      <w:rFonts w:ascii="Calibri" w:hAnsi="Calibri" w:cs="Calibri"/>
      <w:smallCaps/>
    </w:rPr>
  </w:style>
  <w:style w:type="paragraph" w:styleId="TDC3">
    <w:name w:val="toc 3"/>
    <w:basedOn w:val="Normal"/>
    <w:next w:val="Normal"/>
    <w:autoRedefine/>
    <w:uiPriority w:val="39"/>
    <w:rsid w:val="0013684A"/>
    <w:pPr>
      <w:ind w:left="400"/>
    </w:pPr>
    <w:rPr>
      <w:rFonts w:ascii="Calibri" w:hAnsi="Calibri" w:cs="Calibri"/>
      <w:i/>
      <w:iCs/>
    </w:rPr>
  </w:style>
  <w:style w:type="paragraph" w:styleId="TDC4">
    <w:name w:val="toc 4"/>
    <w:basedOn w:val="Normal"/>
    <w:next w:val="Normal"/>
    <w:autoRedefine/>
    <w:rsid w:val="0013684A"/>
    <w:pPr>
      <w:ind w:left="600"/>
    </w:pPr>
    <w:rPr>
      <w:rFonts w:ascii="Calibri" w:hAnsi="Calibri" w:cs="Calibri"/>
      <w:sz w:val="18"/>
      <w:szCs w:val="18"/>
    </w:rPr>
  </w:style>
  <w:style w:type="paragraph" w:styleId="TDC5">
    <w:name w:val="toc 5"/>
    <w:basedOn w:val="Normal"/>
    <w:next w:val="Normal"/>
    <w:autoRedefine/>
    <w:rsid w:val="0013684A"/>
    <w:pPr>
      <w:ind w:left="800"/>
    </w:pPr>
    <w:rPr>
      <w:rFonts w:ascii="Calibri" w:hAnsi="Calibri" w:cs="Calibri"/>
      <w:sz w:val="18"/>
      <w:szCs w:val="18"/>
    </w:rPr>
  </w:style>
  <w:style w:type="paragraph" w:styleId="TDC6">
    <w:name w:val="toc 6"/>
    <w:basedOn w:val="Normal"/>
    <w:next w:val="Normal"/>
    <w:autoRedefine/>
    <w:rsid w:val="0013684A"/>
    <w:pPr>
      <w:ind w:left="1000"/>
    </w:pPr>
    <w:rPr>
      <w:rFonts w:ascii="Calibri" w:hAnsi="Calibri" w:cs="Calibri"/>
      <w:sz w:val="18"/>
      <w:szCs w:val="18"/>
    </w:rPr>
  </w:style>
  <w:style w:type="paragraph" w:styleId="TDC7">
    <w:name w:val="toc 7"/>
    <w:basedOn w:val="Normal"/>
    <w:next w:val="Normal"/>
    <w:autoRedefine/>
    <w:rsid w:val="0013684A"/>
    <w:pPr>
      <w:ind w:left="1200"/>
    </w:pPr>
    <w:rPr>
      <w:rFonts w:ascii="Calibri" w:hAnsi="Calibri" w:cs="Calibri"/>
      <w:sz w:val="18"/>
      <w:szCs w:val="18"/>
    </w:rPr>
  </w:style>
  <w:style w:type="paragraph" w:styleId="TDC8">
    <w:name w:val="toc 8"/>
    <w:basedOn w:val="Normal"/>
    <w:next w:val="Normal"/>
    <w:autoRedefine/>
    <w:rsid w:val="0013684A"/>
    <w:pPr>
      <w:ind w:left="1400"/>
    </w:pPr>
    <w:rPr>
      <w:rFonts w:ascii="Calibri" w:hAnsi="Calibri" w:cs="Calibri"/>
      <w:sz w:val="18"/>
      <w:szCs w:val="18"/>
    </w:rPr>
  </w:style>
  <w:style w:type="paragraph" w:styleId="TDC9">
    <w:name w:val="toc 9"/>
    <w:basedOn w:val="Normal"/>
    <w:next w:val="Normal"/>
    <w:autoRedefine/>
    <w:rsid w:val="0013684A"/>
    <w:pPr>
      <w:ind w:left="1600"/>
    </w:pPr>
    <w:rPr>
      <w:rFonts w:ascii="Calibri" w:hAnsi="Calibri" w:cs="Calibri"/>
      <w:sz w:val="18"/>
      <w:szCs w:val="18"/>
    </w:rPr>
  </w:style>
  <w:style w:type="character" w:styleId="Textodelmarcadordeposicin">
    <w:name w:val="Placeholder Text"/>
    <w:uiPriority w:val="99"/>
    <w:semiHidden/>
    <w:rsid w:val="0013684A"/>
    <w:rPr>
      <w:color w:val="808080"/>
    </w:rPr>
  </w:style>
  <w:style w:type="paragraph" w:styleId="Textoindependiente3">
    <w:name w:val="Body Text 3"/>
    <w:basedOn w:val="Normal"/>
    <w:link w:val="Textoindependiente3Car"/>
    <w:rsid w:val="0013684A"/>
    <w:pPr>
      <w:spacing w:after="120"/>
    </w:pPr>
    <w:rPr>
      <w:sz w:val="16"/>
      <w:szCs w:val="16"/>
    </w:rPr>
  </w:style>
  <w:style w:type="character" w:customStyle="1" w:styleId="Textoindependiente3Car">
    <w:name w:val="Texto independiente 3 Car"/>
    <w:basedOn w:val="Fuentedeprrafopredeter"/>
    <w:link w:val="Textoindependiente3"/>
    <w:rsid w:val="0013684A"/>
    <w:rPr>
      <w:rFonts w:ascii="Times New Roman" w:eastAsia="Times New Roman" w:hAnsi="Times New Roman" w:cs="Times New Roman"/>
      <w:snapToGrid w:val="0"/>
      <w:sz w:val="16"/>
      <w:szCs w:val="16"/>
      <w:lang w:val="es-ES_tradnl" w:eastAsia="es-ES"/>
    </w:rPr>
  </w:style>
  <w:style w:type="table" w:styleId="Tablaconcuadrcula">
    <w:name w:val="Table Grid"/>
    <w:basedOn w:val="Tablanormal"/>
    <w:uiPriority w:val="59"/>
    <w:rsid w:val="002A5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D82E50"/>
    <w:pPr>
      <w:numPr>
        <w:numId w:val="12"/>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5E4CD3"/>
    <w:rPr>
      <w:color w:val="605E5C"/>
      <w:shd w:val="clear" w:color="auto" w:fill="E1DFDD"/>
    </w:rPr>
  </w:style>
  <w:style w:type="character" w:styleId="Nmerodelnea">
    <w:name w:val="line number"/>
    <w:basedOn w:val="Fuentedeprrafopredeter"/>
    <w:uiPriority w:val="99"/>
    <w:semiHidden/>
    <w:unhideWhenUsed/>
    <w:rsid w:val="00CA0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3704">
      <w:bodyDiv w:val="1"/>
      <w:marLeft w:val="0"/>
      <w:marRight w:val="0"/>
      <w:marTop w:val="0"/>
      <w:marBottom w:val="0"/>
      <w:divBdr>
        <w:top w:val="none" w:sz="0" w:space="0" w:color="auto"/>
        <w:left w:val="none" w:sz="0" w:space="0" w:color="auto"/>
        <w:bottom w:val="none" w:sz="0" w:space="0" w:color="auto"/>
        <w:right w:val="none" w:sz="0" w:space="0" w:color="auto"/>
      </w:divBdr>
    </w:div>
    <w:div w:id="105929847">
      <w:bodyDiv w:val="1"/>
      <w:marLeft w:val="0"/>
      <w:marRight w:val="0"/>
      <w:marTop w:val="0"/>
      <w:marBottom w:val="0"/>
      <w:divBdr>
        <w:top w:val="none" w:sz="0" w:space="0" w:color="auto"/>
        <w:left w:val="none" w:sz="0" w:space="0" w:color="auto"/>
        <w:bottom w:val="none" w:sz="0" w:space="0" w:color="auto"/>
        <w:right w:val="none" w:sz="0" w:space="0" w:color="auto"/>
      </w:divBdr>
    </w:div>
    <w:div w:id="214706420">
      <w:bodyDiv w:val="1"/>
      <w:marLeft w:val="0"/>
      <w:marRight w:val="0"/>
      <w:marTop w:val="0"/>
      <w:marBottom w:val="0"/>
      <w:divBdr>
        <w:top w:val="none" w:sz="0" w:space="0" w:color="auto"/>
        <w:left w:val="none" w:sz="0" w:space="0" w:color="auto"/>
        <w:bottom w:val="none" w:sz="0" w:space="0" w:color="auto"/>
        <w:right w:val="none" w:sz="0" w:space="0" w:color="auto"/>
      </w:divBdr>
    </w:div>
    <w:div w:id="270556214">
      <w:bodyDiv w:val="1"/>
      <w:marLeft w:val="0"/>
      <w:marRight w:val="0"/>
      <w:marTop w:val="0"/>
      <w:marBottom w:val="0"/>
      <w:divBdr>
        <w:top w:val="none" w:sz="0" w:space="0" w:color="auto"/>
        <w:left w:val="none" w:sz="0" w:space="0" w:color="auto"/>
        <w:bottom w:val="none" w:sz="0" w:space="0" w:color="auto"/>
        <w:right w:val="none" w:sz="0" w:space="0" w:color="auto"/>
      </w:divBdr>
    </w:div>
    <w:div w:id="365104273">
      <w:bodyDiv w:val="1"/>
      <w:marLeft w:val="0"/>
      <w:marRight w:val="0"/>
      <w:marTop w:val="0"/>
      <w:marBottom w:val="0"/>
      <w:divBdr>
        <w:top w:val="none" w:sz="0" w:space="0" w:color="auto"/>
        <w:left w:val="none" w:sz="0" w:space="0" w:color="auto"/>
        <w:bottom w:val="none" w:sz="0" w:space="0" w:color="auto"/>
        <w:right w:val="none" w:sz="0" w:space="0" w:color="auto"/>
      </w:divBdr>
    </w:div>
    <w:div w:id="375740037">
      <w:bodyDiv w:val="1"/>
      <w:marLeft w:val="0"/>
      <w:marRight w:val="0"/>
      <w:marTop w:val="0"/>
      <w:marBottom w:val="0"/>
      <w:divBdr>
        <w:top w:val="none" w:sz="0" w:space="0" w:color="auto"/>
        <w:left w:val="none" w:sz="0" w:space="0" w:color="auto"/>
        <w:bottom w:val="none" w:sz="0" w:space="0" w:color="auto"/>
        <w:right w:val="none" w:sz="0" w:space="0" w:color="auto"/>
      </w:divBdr>
    </w:div>
    <w:div w:id="519197160">
      <w:bodyDiv w:val="1"/>
      <w:marLeft w:val="0"/>
      <w:marRight w:val="0"/>
      <w:marTop w:val="0"/>
      <w:marBottom w:val="0"/>
      <w:divBdr>
        <w:top w:val="none" w:sz="0" w:space="0" w:color="auto"/>
        <w:left w:val="none" w:sz="0" w:space="0" w:color="auto"/>
        <w:bottom w:val="none" w:sz="0" w:space="0" w:color="auto"/>
        <w:right w:val="none" w:sz="0" w:space="0" w:color="auto"/>
      </w:divBdr>
    </w:div>
    <w:div w:id="586157176">
      <w:bodyDiv w:val="1"/>
      <w:marLeft w:val="0"/>
      <w:marRight w:val="0"/>
      <w:marTop w:val="0"/>
      <w:marBottom w:val="0"/>
      <w:divBdr>
        <w:top w:val="none" w:sz="0" w:space="0" w:color="auto"/>
        <w:left w:val="none" w:sz="0" w:space="0" w:color="auto"/>
        <w:bottom w:val="none" w:sz="0" w:space="0" w:color="auto"/>
        <w:right w:val="none" w:sz="0" w:space="0" w:color="auto"/>
      </w:divBdr>
    </w:div>
    <w:div w:id="602342552">
      <w:bodyDiv w:val="1"/>
      <w:marLeft w:val="0"/>
      <w:marRight w:val="0"/>
      <w:marTop w:val="0"/>
      <w:marBottom w:val="0"/>
      <w:divBdr>
        <w:top w:val="none" w:sz="0" w:space="0" w:color="auto"/>
        <w:left w:val="none" w:sz="0" w:space="0" w:color="auto"/>
        <w:bottom w:val="none" w:sz="0" w:space="0" w:color="auto"/>
        <w:right w:val="none" w:sz="0" w:space="0" w:color="auto"/>
      </w:divBdr>
      <w:divsChild>
        <w:div w:id="1175530458">
          <w:marLeft w:val="547"/>
          <w:marRight w:val="0"/>
          <w:marTop w:val="0"/>
          <w:marBottom w:val="0"/>
          <w:divBdr>
            <w:top w:val="none" w:sz="0" w:space="0" w:color="auto"/>
            <w:left w:val="none" w:sz="0" w:space="0" w:color="auto"/>
            <w:bottom w:val="none" w:sz="0" w:space="0" w:color="auto"/>
            <w:right w:val="none" w:sz="0" w:space="0" w:color="auto"/>
          </w:divBdr>
        </w:div>
        <w:div w:id="1190608538">
          <w:marLeft w:val="547"/>
          <w:marRight w:val="0"/>
          <w:marTop w:val="0"/>
          <w:marBottom w:val="0"/>
          <w:divBdr>
            <w:top w:val="none" w:sz="0" w:space="0" w:color="auto"/>
            <w:left w:val="none" w:sz="0" w:space="0" w:color="auto"/>
            <w:bottom w:val="none" w:sz="0" w:space="0" w:color="auto"/>
            <w:right w:val="none" w:sz="0" w:space="0" w:color="auto"/>
          </w:divBdr>
        </w:div>
      </w:divsChild>
    </w:div>
    <w:div w:id="634062047">
      <w:bodyDiv w:val="1"/>
      <w:marLeft w:val="0"/>
      <w:marRight w:val="0"/>
      <w:marTop w:val="0"/>
      <w:marBottom w:val="0"/>
      <w:divBdr>
        <w:top w:val="none" w:sz="0" w:space="0" w:color="auto"/>
        <w:left w:val="none" w:sz="0" w:space="0" w:color="auto"/>
        <w:bottom w:val="none" w:sz="0" w:space="0" w:color="auto"/>
        <w:right w:val="none" w:sz="0" w:space="0" w:color="auto"/>
      </w:divBdr>
    </w:div>
    <w:div w:id="646129714">
      <w:bodyDiv w:val="1"/>
      <w:marLeft w:val="0"/>
      <w:marRight w:val="0"/>
      <w:marTop w:val="0"/>
      <w:marBottom w:val="0"/>
      <w:divBdr>
        <w:top w:val="none" w:sz="0" w:space="0" w:color="auto"/>
        <w:left w:val="none" w:sz="0" w:space="0" w:color="auto"/>
        <w:bottom w:val="none" w:sz="0" w:space="0" w:color="auto"/>
        <w:right w:val="none" w:sz="0" w:space="0" w:color="auto"/>
      </w:divBdr>
    </w:div>
    <w:div w:id="708145456">
      <w:bodyDiv w:val="1"/>
      <w:marLeft w:val="0"/>
      <w:marRight w:val="0"/>
      <w:marTop w:val="0"/>
      <w:marBottom w:val="0"/>
      <w:divBdr>
        <w:top w:val="none" w:sz="0" w:space="0" w:color="auto"/>
        <w:left w:val="none" w:sz="0" w:space="0" w:color="auto"/>
        <w:bottom w:val="none" w:sz="0" w:space="0" w:color="auto"/>
        <w:right w:val="none" w:sz="0" w:space="0" w:color="auto"/>
      </w:divBdr>
    </w:div>
    <w:div w:id="787773140">
      <w:bodyDiv w:val="1"/>
      <w:marLeft w:val="0"/>
      <w:marRight w:val="0"/>
      <w:marTop w:val="0"/>
      <w:marBottom w:val="0"/>
      <w:divBdr>
        <w:top w:val="none" w:sz="0" w:space="0" w:color="auto"/>
        <w:left w:val="none" w:sz="0" w:space="0" w:color="auto"/>
        <w:bottom w:val="none" w:sz="0" w:space="0" w:color="auto"/>
        <w:right w:val="none" w:sz="0" w:space="0" w:color="auto"/>
      </w:divBdr>
    </w:div>
    <w:div w:id="795097707">
      <w:bodyDiv w:val="1"/>
      <w:marLeft w:val="0"/>
      <w:marRight w:val="0"/>
      <w:marTop w:val="0"/>
      <w:marBottom w:val="0"/>
      <w:divBdr>
        <w:top w:val="none" w:sz="0" w:space="0" w:color="auto"/>
        <w:left w:val="none" w:sz="0" w:space="0" w:color="auto"/>
        <w:bottom w:val="none" w:sz="0" w:space="0" w:color="auto"/>
        <w:right w:val="none" w:sz="0" w:space="0" w:color="auto"/>
      </w:divBdr>
    </w:div>
    <w:div w:id="825361732">
      <w:bodyDiv w:val="1"/>
      <w:marLeft w:val="0"/>
      <w:marRight w:val="0"/>
      <w:marTop w:val="0"/>
      <w:marBottom w:val="0"/>
      <w:divBdr>
        <w:top w:val="none" w:sz="0" w:space="0" w:color="auto"/>
        <w:left w:val="none" w:sz="0" w:space="0" w:color="auto"/>
        <w:bottom w:val="none" w:sz="0" w:space="0" w:color="auto"/>
        <w:right w:val="none" w:sz="0" w:space="0" w:color="auto"/>
      </w:divBdr>
    </w:div>
    <w:div w:id="836728825">
      <w:bodyDiv w:val="1"/>
      <w:marLeft w:val="0"/>
      <w:marRight w:val="0"/>
      <w:marTop w:val="0"/>
      <w:marBottom w:val="0"/>
      <w:divBdr>
        <w:top w:val="none" w:sz="0" w:space="0" w:color="auto"/>
        <w:left w:val="none" w:sz="0" w:space="0" w:color="auto"/>
        <w:bottom w:val="none" w:sz="0" w:space="0" w:color="auto"/>
        <w:right w:val="none" w:sz="0" w:space="0" w:color="auto"/>
      </w:divBdr>
    </w:div>
    <w:div w:id="949164875">
      <w:bodyDiv w:val="1"/>
      <w:marLeft w:val="0"/>
      <w:marRight w:val="0"/>
      <w:marTop w:val="0"/>
      <w:marBottom w:val="0"/>
      <w:divBdr>
        <w:top w:val="none" w:sz="0" w:space="0" w:color="auto"/>
        <w:left w:val="none" w:sz="0" w:space="0" w:color="auto"/>
        <w:bottom w:val="none" w:sz="0" w:space="0" w:color="auto"/>
        <w:right w:val="none" w:sz="0" w:space="0" w:color="auto"/>
      </w:divBdr>
    </w:div>
    <w:div w:id="1043865848">
      <w:bodyDiv w:val="1"/>
      <w:marLeft w:val="0"/>
      <w:marRight w:val="0"/>
      <w:marTop w:val="0"/>
      <w:marBottom w:val="0"/>
      <w:divBdr>
        <w:top w:val="none" w:sz="0" w:space="0" w:color="auto"/>
        <w:left w:val="none" w:sz="0" w:space="0" w:color="auto"/>
        <w:bottom w:val="none" w:sz="0" w:space="0" w:color="auto"/>
        <w:right w:val="none" w:sz="0" w:space="0" w:color="auto"/>
      </w:divBdr>
    </w:div>
    <w:div w:id="1054430126">
      <w:bodyDiv w:val="1"/>
      <w:marLeft w:val="0"/>
      <w:marRight w:val="0"/>
      <w:marTop w:val="0"/>
      <w:marBottom w:val="0"/>
      <w:divBdr>
        <w:top w:val="none" w:sz="0" w:space="0" w:color="auto"/>
        <w:left w:val="none" w:sz="0" w:space="0" w:color="auto"/>
        <w:bottom w:val="none" w:sz="0" w:space="0" w:color="auto"/>
        <w:right w:val="none" w:sz="0" w:space="0" w:color="auto"/>
      </w:divBdr>
    </w:div>
    <w:div w:id="1075665928">
      <w:bodyDiv w:val="1"/>
      <w:marLeft w:val="0"/>
      <w:marRight w:val="0"/>
      <w:marTop w:val="0"/>
      <w:marBottom w:val="0"/>
      <w:divBdr>
        <w:top w:val="none" w:sz="0" w:space="0" w:color="auto"/>
        <w:left w:val="none" w:sz="0" w:space="0" w:color="auto"/>
        <w:bottom w:val="none" w:sz="0" w:space="0" w:color="auto"/>
        <w:right w:val="none" w:sz="0" w:space="0" w:color="auto"/>
      </w:divBdr>
    </w:div>
    <w:div w:id="1125781385">
      <w:bodyDiv w:val="1"/>
      <w:marLeft w:val="0"/>
      <w:marRight w:val="0"/>
      <w:marTop w:val="0"/>
      <w:marBottom w:val="0"/>
      <w:divBdr>
        <w:top w:val="none" w:sz="0" w:space="0" w:color="auto"/>
        <w:left w:val="none" w:sz="0" w:space="0" w:color="auto"/>
        <w:bottom w:val="none" w:sz="0" w:space="0" w:color="auto"/>
        <w:right w:val="none" w:sz="0" w:space="0" w:color="auto"/>
      </w:divBdr>
    </w:div>
    <w:div w:id="1146168073">
      <w:bodyDiv w:val="1"/>
      <w:marLeft w:val="0"/>
      <w:marRight w:val="0"/>
      <w:marTop w:val="0"/>
      <w:marBottom w:val="0"/>
      <w:divBdr>
        <w:top w:val="none" w:sz="0" w:space="0" w:color="auto"/>
        <w:left w:val="none" w:sz="0" w:space="0" w:color="auto"/>
        <w:bottom w:val="none" w:sz="0" w:space="0" w:color="auto"/>
        <w:right w:val="none" w:sz="0" w:space="0" w:color="auto"/>
      </w:divBdr>
      <w:divsChild>
        <w:div w:id="911888262">
          <w:marLeft w:val="547"/>
          <w:marRight w:val="0"/>
          <w:marTop w:val="0"/>
          <w:marBottom w:val="0"/>
          <w:divBdr>
            <w:top w:val="none" w:sz="0" w:space="0" w:color="auto"/>
            <w:left w:val="none" w:sz="0" w:space="0" w:color="auto"/>
            <w:bottom w:val="none" w:sz="0" w:space="0" w:color="auto"/>
            <w:right w:val="none" w:sz="0" w:space="0" w:color="auto"/>
          </w:divBdr>
        </w:div>
        <w:div w:id="442769575">
          <w:marLeft w:val="547"/>
          <w:marRight w:val="0"/>
          <w:marTop w:val="0"/>
          <w:marBottom w:val="0"/>
          <w:divBdr>
            <w:top w:val="none" w:sz="0" w:space="0" w:color="auto"/>
            <w:left w:val="none" w:sz="0" w:space="0" w:color="auto"/>
            <w:bottom w:val="none" w:sz="0" w:space="0" w:color="auto"/>
            <w:right w:val="none" w:sz="0" w:space="0" w:color="auto"/>
          </w:divBdr>
        </w:div>
      </w:divsChild>
    </w:div>
    <w:div w:id="1245262787">
      <w:bodyDiv w:val="1"/>
      <w:marLeft w:val="0"/>
      <w:marRight w:val="0"/>
      <w:marTop w:val="0"/>
      <w:marBottom w:val="0"/>
      <w:divBdr>
        <w:top w:val="none" w:sz="0" w:space="0" w:color="auto"/>
        <w:left w:val="none" w:sz="0" w:space="0" w:color="auto"/>
        <w:bottom w:val="none" w:sz="0" w:space="0" w:color="auto"/>
        <w:right w:val="none" w:sz="0" w:space="0" w:color="auto"/>
      </w:divBdr>
    </w:div>
    <w:div w:id="1265846999">
      <w:bodyDiv w:val="1"/>
      <w:marLeft w:val="0"/>
      <w:marRight w:val="0"/>
      <w:marTop w:val="0"/>
      <w:marBottom w:val="0"/>
      <w:divBdr>
        <w:top w:val="none" w:sz="0" w:space="0" w:color="auto"/>
        <w:left w:val="none" w:sz="0" w:space="0" w:color="auto"/>
        <w:bottom w:val="none" w:sz="0" w:space="0" w:color="auto"/>
        <w:right w:val="none" w:sz="0" w:space="0" w:color="auto"/>
      </w:divBdr>
    </w:div>
    <w:div w:id="1329019688">
      <w:bodyDiv w:val="1"/>
      <w:marLeft w:val="0"/>
      <w:marRight w:val="0"/>
      <w:marTop w:val="0"/>
      <w:marBottom w:val="0"/>
      <w:divBdr>
        <w:top w:val="none" w:sz="0" w:space="0" w:color="auto"/>
        <w:left w:val="none" w:sz="0" w:space="0" w:color="auto"/>
        <w:bottom w:val="none" w:sz="0" w:space="0" w:color="auto"/>
        <w:right w:val="none" w:sz="0" w:space="0" w:color="auto"/>
      </w:divBdr>
      <w:divsChild>
        <w:div w:id="541744207">
          <w:marLeft w:val="446"/>
          <w:marRight w:val="0"/>
          <w:marTop w:val="0"/>
          <w:marBottom w:val="0"/>
          <w:divBdr>
            <w:top w:val="none" w:sz="0" w:space="0" w:color="auto"/>
            <w:left w:val="none" w:sz="0" w:space="0" w:color="auto"/>
            <w:bottom w:val="none" w:sz="0" w:space="0" w:color="auto"/>
            <w:right w:val="none" w:sz="0" w:space="0" w:color="auto"/>
          </w:divBdr>
        </w:div>
        <w:div w:id="1584221999">
          <w:marLeft w:val="446"/>
          <w:marRight w:val="0"/>
          <w:marTop w:val="0"/>
          <w:marBottom w:val="0"/>
          <w:divBdr>
            <w:top w:val="none" w:sz="0" w:space="0" w:color="auto"/>
            <w:left w:val="none" w:sz="0" w:space="0" w:color="auto"/>
            <w:bottom w:val="none" w:sz="0" w:space="0" w:color="auto"/>
            <w:right w:val="none" w:sz="0" w:space="0" w:color="auto"/>
          </w:divBdr>
        </w:div>
      </w:divsChild>
    </w:div>
    <w:div w:id="1379816639">
      <w:bodyDiv w:val="1"/>
      <w:marLeft w:val="0"/>
      <w:marRight w:val="0"/>
      <w:marTop w:val="0"/>
      <w:marBottom w:val="0"/>
      <w:divBdr>
        <w:top w:val="none" w:sz="0" w:space="0" w:color="auto"/>
        <w:left w:val="none" w:sz="0" w:space="0" w:color="auto"/>
        <w:bottom w:val="none" w:sz="0" w:space="0" w:color="auto"/>
        <w:right w:val="none" w:sz="0" w:space="0" w:color="auto"/>
      </w:divBdr>
    </w:div>
    <w:div w:id="1717925017">
      <w:bodyDiv w:val="1"/>
      <w:marLeft w:val="0"/>
      <w:marRight w:val="0"/>
      <w:marTop w:val="0"/>
      <w:marBottom w:val="0"/>
      <w:divBdr>
        <w:top w:val="none" w:sz="0" w:space="0" w:color="auto"/>
        <w:left w:val="none" w:sz="0" w:space="0" w:color="auto"/>
        <w:bottom w:val="none" w:sz="0" w:space="0" w:color="auto"/>
        <w:right w:val="none" w:sz="0" w:space="0" w:color="auto"/>
      </w:divBdr>
    </w:div>
    <w:div w:id="1762869049">
      <w:bodyDiv w:val="1"/>
      <w:marLeft w:val="0"/>
      <w:marRight w:val="0"/>
      <w:marTop w:val="0"/>
      <w:marBottom w:val="0"/>
      <w:divBdr>
        <w:top w:val="none" w:sz="0" w:space="0" w:color="auto"/>
        <w:left w:val="none" w:sz="0" w:space="0" w:color="auto"/>
        <w:bottom w:val="none" w:sz="0" w:space="0" w:color="auto"/>
        <w:right w:val="none" w:sz="0" w:space="0" w:color="auto"/>
      </w:divBdr>
    </w:div>
    <w:div w:id="1782915891">
      <w:bodyDiv w:val="1"/>
      <w:marLeft w:val="0"/>
      <w:marRight w:val="0"/>
      <w:marTop w:val="0"/>
      <w:marBottom w:val="0"/>
      <w:divBdr>
        <w:top w:val="none" w:sz="0" w:space="0" w:color="auto"/>
        <w:left w:val="none" w:sz="0" w:space="0" w:color="auto"/>
        <w:bottom w:val="none" w:sz="0" w:space="0" w:color="auto"/>
        <w:right w:val="none" w:sz="0" w:space="0" w:color="auto"/>
      </w:divBdr>
    </w:div>
    <w:div w:id="1796481015">
      <w:bodyDiv w:val="1"/>
      <w:marLeft w:val="0"/>
      <w:marRight w:val="0"/>
      <w:marTop w:val="0"/>
      <w:marBottom w:val="0"/>
      <w:divBdr>
        <w:top w:val="none" w:sz="0" w:space="0" w:color="auto"/>
        <w:left w:val="none" w:sz="0" w:space="0" w:color="auto"/>
        <w:bottom w:val="none" w:sz="0" w:space="0" w:color="auto"/>
        <w:right w:val="none" w:sz="0" w:space="0" w:color="auto"/>
      </w:divBdr>
      <w:divsChild>
        <w:div w:id="1064451553">
          <w:marLeft w:val="446"/>
          <w:marRight w:val="0"/>
          <w:marTop w:val="0"/>
          <w:marBottom w:val="0"/>
          <w:divBdr>
            <w:top w:val="none" w:sz="0" w:space="0" w:color="auto"/>
            <w:left w:val="none" w:sz="0" w:space="0" w:color="auto"/>
            <w:bottom w:val="none" w:sz="0" w:space="0" w:color="auto"/>
            <w:right w:val="none" w:sz="0" w:space="0" w:color="auto"/>
          </w:divBdr>
        </w:div>
      </w:divsChild>
    </w:div>
    <w:div w:id="1911035329">
      <w:bodyDiv w:val="1"/>
      <w:marLeft w:val="0"/>
      <w:marRight w:val="0"/>
      <w:marTop w:val="0"/>
      <w:marBottom w:val="0"/>
      <w:divBdr>
        <w:top w:val="none" w:sz="0" w:space="0" w:color="auto"/>
        <w:left w:val="none" w:sz="0" w:space="0" w:color="auto"/>
        <w:bottom w:val="none" w:sz="0" w:space="0" w:color="auto"/>
        <w:right w:val="none" w:sz="0" w:space="0" w:color="auto"/>
      </w:divBdr>
    </w:div>
    <w:div w:id="2112161237">
      <w:bodyDiv w:val="1"/>
      <w:marLeft w:val="0"/>
      <w:marRight w:val="0"/>
      <w:marTop w:val="0"/>
      <w:marBottom w:val="0"/>
      <w:divBdr>
        <w:top w:val="none" w:sz="0" w:space="0" w:color="auto"/>
        <w:left w:val="none" w:sz="0" w:space="0" w:color="auto"/>
        <w:bottom w:val="none" w:sz="0" w:space="0" w:color="auto"/>
        <w:right w:val="none" w:sz="0" w:space="0" w:color="auto"/>
      </w:divBdr>
    </w:div>
    <w:div w:id="213308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uperfinanciera.gov.co/jsp/1501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uperfinanciera.gov.co/descargas?com=institucional&amp;name=pubFile13093&amp;downloadname=codigoscalificaciones.xl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6321521CFDF844BAE38C64CA8C38B3" ma:contentTypeVersion="13" ma:contentTypeDescription="Create a new document." ma:contentTypeScope="" ma:versionID="fa0b05d4863d75280ea9c5d7b0f9d325">
  <xsd:schema xmlns:xsd="http://www.w3.org/2001/XMLSchema" xmlns:xs="http://www.w3.org/2001/XMLSchema" xmlns:p="http://schemas.microsoft.com/office/2006/metadata/properties" xmlns:ns3="7a60916c-0df2-4b3c-a6c0-429dbed52577" xmlns:ns4="43d38367-3cd9-471f-aad4-a363ece316a3" targetNamespace="http://schemas.microsoft.com/office/2006/metadata/properties" ma:root="true" ma:fieldsID="112e52e6cbfe4d20cdb282667e925279" ns3:_="" ns4:_="">
    <xsd:import namespace="7a60916c-0df2-4b3c-a6c0-429dbed52577"/>
    <xsd:import namespace="43d38367-3cd9-471f-aad4-a363ece316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0916c-0df2-4b3c-a6c0-429dbed525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d38367-3cd9-471f-aad4-a363ece316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AC67-9388-4288-BCDD-61DA41B2E1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F7F3F5-6BF8-439A-A465-86E587C6E0C4}">
  <ds:schemaRefs>
    <ds:schemaRef ds:uri="http://schemas.microsoft.com/sharepoint/v3/contenttype/forms"/>
  </ds:schemaRefs>
</ds:datastoreItem>
</file>

<file path=customXml/itemProps3.xml><?xml version="1.0" encoding="utf-8"?>
<ds:datastoreItem xmlns:ds="http://schemas.openxmlformats.org/officeDocument/2006/customXml" ds:itemID="{F2C6AD56-DFA4-4672-8A3C-8AC525C70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0916c-0df2-4b3c-a6c0-429dbed52577"/>
    <ds:schemaRef ds:uri="43d38367-3cd9-471f-aad4-a363ece31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0F898-62DC-4DE2-8431-877D45D6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1820</Words>
  <Characters>10013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dalopez</dc:creator>
  <cp:keywords/>
  <dc:description/>
  <cp:lastModifiedBy>Gabriel Armando Ospina Garcia</cp:lastModifiedBy>
  <cp:revision>4</cp:revision>
  <cp:lastPrinted>2019-08-21T15:38:00Z</cp:lastPrinted>
  <dcterms:created xsi:type="dcterms:W3CDTF">2022-07-19T16:38:00Z</dcterms:created>
  <dcterms:modified xsi:type="dcterms:W3CDTF">2022-07-29T21:58:00Z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0x010100696321521CFDF844BAE38C64CA8C38B3</vt:lpwstr>
  </property>
</Properties>
</file>